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pPr w:vertAnchor="page" w:horzAnchor="margin" w:tblpXSpec="center" w:tblpY="397"/>
        <w:tblW w:w="109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10998"/>
      </w:tblGrid>
      <w:tr w:rsidR="00BD0494" w:rsidRPr="00042D79" w14:paraId="543CC908" w14:textId="77777777" w:rsidTr="00BD0494">
        <w:tc>
          <w:tcPr>
            <w:tcW w:w="10998" w:type="dxa"/>
            <w:tcBorders>
              <w:top w:val="none" w:sz="0" w:space="0" w:color="FFFFFF"/>
              <w:left w:val="none" w:sz="0" w:space="0" w:color="FFFFFF"/>
              <w:bottom w:val="none" w:sz="0" w:space="0" w:color="FFFFFF"/>
              <w:right w:val="none" w:sz="0" w:space="0" w:color="FFFFFF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14:paraId="05457241" w14:textId="55FA2712" w:rsidR="00BD0494" w:rsidRPr="00042D79" w:rsidRDefault="00BD0494" w:rsidP="00A23F70">
            <w:pPr>
              <w:spacing w:line="260" w:lineRule="atLeast"/>
              <w:jc w:val="right"/>
              <w:rPr>
                <w:rFonts w:ascii="Arial" w:hAnsi="Arial" w:cs="Arial"/>
              </w:rPr>
            </w:pPr>
            <w:bookmarkStart w:id="0" w:name="_GoBack"/>
            <w:bookmarkEnd w:id="0"/>
            <w:r w:rsidRPr="00042D79">
              <w:rPr>
                <w:rFonts w:ascii="Arial" w:eastAsia="Arial Regular" w:hAnsi="Arial" w:cs="Arial"/>
                <w:color w:val="222222"/>
                <w:sz w:val="22"/>
                <w:szCs w:val="22"/>
              </w:rPr>
              <w:t>Приложение №</w:t>
            </w:r>
            <w:r w:rsidR="00AB459F">
              <w:rPr>
                <w:rFonts w:ascii="Arial" w:eastAsia="Arial Regular" w:hAnsi="Arial" w:cs="Arial"/>
                <w:color w:val="222222"/>
                <w:sz w:val="22"/>
                <w:szCs w:val="22"/>
              </w:rPr>
              <w:t>1</w:t>
            </w:r>
            <w:r w:rsidR="00AB459F">
              <w:rPr>
                <w:rFonts w:ascii="Arial" w:eastAsia="Arial Regular" w:hAnsi="Arial" w:cs="Arial"/>
                <w:color w:val="222222"/>
                <w:sz w:val="22"/>
                <w:szCs w:val="22"/>
              </w:rPr>
              <w:br/>
              <w:t xml:space="preserve"> к приказу от __.__.2023</w:t>
            </w:r>
            <w:r w:rsidRPr="00042D79">
              <w:rPr>
                <w:rFonts w:ascii="Arial" w:eastAsia="Arial Regular" w:hAnsi="Arial" w:cs="Arial"/>
                <w:color w:val="222222"/>
                <w:sz w:val="22"/>
                <w:szCs w:val="22"/>
              </w:rPr>
              <w:t xml:space="preserve"> г. №____</w:t>
            </w:r>
          </w:p>
        </w:tc>
      </w:tr>
    </w:tbl>
    <w:sdt>
      <w:sdtPr>
        <w:rPr>
          <w:rFonts w:ascii="Arial" w:eastAsiaTheme="minorHAnsi" w:hAnsi="Arial" w:cs="Arial"/>
          <w:color w:val="4472C4" w:themeColor="accent1"/>
          <w:sz w:val="24"/>
          <w:szCs w:val="24"/>
          <w:lang w:val="ru-RU" w:eastAsia="en-US"/>
        </w:rPr>
        <w:id w:val="-1025701407"/>
        <w:docPartObj>
          <w:docPartGallery w:val="Cover Pages"/>
          <w:docPartUnique/>
        </w:docPartObj>
      </w:sdtPr>
      <w:sdtEndPr>
        <w:rPr>
          <w:color w:val="auto"/>
        </w:rPr>
      </w:sdtEndPr>
      <w:sdtContent>
        <w:p w14:paraId="7E6C0B0C" w14:textId="77777777" w:rsidR="00BD0494" w:rsidRDefault="00BD0494">
          <w:pPr>
            <w:pStyle w:val="ae"/>
            <w:spacing w:before="1540" w:after="240"/>
            <w:jc w:val="center"/>
            <w:rPr>
              <w:rFonts w:ascii="Arial" w:eastAsiaTheme="minorHAnsi" w:hAnsi="Arial" w:cs="Arial"/>
              <w:color w:val="4472C4" w:themeColor="accent1"/>
              <w:sz w:val="24"/>
              <w:szCs w:val="24"/>
              <w:lang w:val="ru-RU" w:eastAsia="en-US"/>
            </w:rPr>
          </w:pPr>
        </w:p>
        <w:p w14:paraId="61D7C644" w14:textId="77777777" w:rsidR="00B756A9" w:rsidRPr="00042D79" w:rsidRDefault="00B756A9">
          <w:pPr>
            <w:pStyle w:val="ae"/>
            <w:spacing w:before="1540" w:after="240"/>
            <w:jc w:val="center"/>
            <w:rPr>
              <w:rFonts w:ascii="Arial" w:hAnsi="Arial" w:cs="Arial"/>
              <w:color w:val="4472C4" w:themeColor="accent1"/>
            </w:rPr>
          </w:pPr>
        </w:p>
        <w:p w14:paraId="755948BB" w14:textId="45E527BE" w:rsidR="00BD0494" w:rsidRDefault="00BD0494" w:rsidP="00B756A9">
          <w:pPr>
            <w:pStyle w:val="ae"/>
            <w:spacing w:after="240"/>
            <w:jc w:val="center"/>
            <w:rPr>
              <w:rFonts w:ascii="Arial" w:hAnsi="Arial" w:cs="Arial"/>
              <w:color w:val="4472C4" w:themeColor="accent1"/>
              <w:lang w:val="ru-RU"/>
            </w:rPr>
          </w:pPr>
          <w:r w:rsidRPr="00042D79">
            <w:rPr>
              <w:rFonts w:ascii="Arial" w:hAnsi="Arial" w:cs="Arial"/>
              <w:noProof/>
              <w:color w:val="4472C4" w:themeColor="accent1"/>
              <w:lang w:val="ru-RU" w:eastAsia="ru-RU"/>
            </w:rPr>
            <w:drawing>
              <wp:inline distT="0" distB="0" distL="0" distR="0" wp14:anchorId="282EC896" wp14:editId="021DCDD3">
                <wp:extent cx="1892300" cy="368300"/>
                <wp:effectExtent l="0" t="0" r="0" b="0"/>
                <wp:docPr id="2" name="Рисунок 2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2" name="Рисунок 2"/>
                        <pic:cNvPicPr/>
                      </pic:nvPicPr>
                      <pic:blipFill>
                        <a:blip r:embed="rId8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1892300" cy="368300"/>
                        </a:xfrm>
                        <a:prstGeom prst="rect">
                          <a:avLst/>
                        </a:prstGeom>
                      </pic:spPr>
                    </pic:pic>
                  </a:graphicData>
                </a:graphic>
              </wp:inline>
            </w:drawing>
          </w:r>
        </w:p>
        <w:p w14:paraId="3BDA0413" w14:textId="77777777" w:rsidR="00B756A9" w:rsidRDefault="00B756A9" w:rsidP="00B756A9">
          <w:pPr>
            <w:pStyle w:val="ae"/>
            <w:spacing w:after="240"/>
            <w:jc w:val="center"/>
            <w:rPr>
              <w:rFonts w:ascii="Arial" w:hAnsi="Arial" w:cs="Arial"/>
              <w:color w:val="4472C4" w:themeColor="accent1"/>
              <w:lang w:val="ru-RU"/>
            </w:rPr>
          </w:pPr>
        </w:p>
        <w:p w14:paraId="5E1A9BAB" w14:textId="77777777" w:rsidR="00B756A9" w:rsidRDefault="00B756A9" w:rsidP="00B756A9">
          <w:pPr>
            <w:pStyle w:val="ae"/>
            <w:spacing w:after="240"/>
            <w:jc w:val="center"/>
            <w:rPr>
              <w:rFonts w:ascii="Arial" w:hAnsi="Arial" w:cs="Arial"/>
              <w:color w:val="4472C4" w:themeColor="accent1"/>
              <w:lang w:val="ru-RU"/>
            </w:rPr>
          </w:pPr>
        </w:p>
        <w:p w14:paraId="21BCC4D4" w14:textId="77777777" w:rsidR="00B756A9" w:rsidRDefault="00B756A9" w:rsidP="00B756A9">
          <w:pPr>
            <w:pStyle w:val="ae"/>
            <w:spacing w:after="240"/>
            <w:jc w:val="center"/>
            <w:rPr>
              <w:rFonts w:ascii="Arial" w:hAnsi="Arial" w:cs="Arial"/>
              <w:color w:val="4472C4" w:themeColor="accent1"/>
              <w:lang w:val="ru-RU"/>
            </w:rPr>
          </w:pPr>
        </w:p>
        <w:p w14:paraId="2275A0C6" w14:textId="77777777" w:rsidR="00B756A9" w:rsidRPr="00B756A9" w:rsidRDefault="00B756A9" w:rsidP="00B756A9">
          <w:pPr>
            <w:pStyle w:val="ae"/>
            <w:spacing w:after="240"/>
            <w:jc w:val="center"/>
            <w:rPr>
              <w:rFonts w:ascii="Arial" w:hAnsi="Arial" w:cs="Arial"/>
              <w:color w:val="4472C4" w:themeColor="accent1"/>
              <w:lang w:val="ru-RU"/>
            </w:rPr>
          </w:pPr>
        </w:p>
        <w:sdt>
          <w:sdtPr>
            <w:rPr>
              <w:rFonts w:ascii="Arial" w:eastAsia="Arial Bold" w:hAnsi="Arial" w:cs="Arial"/>
              <w:b/>
              <w:bCs/>
              <w:color w:val="222222"/>
              <w:sz w:val="36"/>
              <w:szCs w:val="36"/>
              <w:lang w:val="ru-RU"/>
            </w:rPr>
            <w:alias w:val="Название"/>
            <w:tag w:val=""/>
            <w:id w:val="1735040861"/>
            <w:dataBinding w:prefixMappings="xmlns:ns0='http://purl.org/dc/elements/1.1/' xmlns:ns1='http://schemas.openxmlformats.org/package/2006/metadata/core-properties' " w:xpath="/ns1:coreProperties[1]/ns0:title[1]" w:storeItemID="{6C3C8BC8-F283-45AE-878A-BAB7291924A1}"/>
            <w:text/>
          </w:sdtPr>
          <w:sdtEndPr/>
          <w:sdtContent>
            <w:p w14:paraId="6DCCE4D7" w14:textId="53E8288A" w:rsidR="00B97CCA" w:rsidRPr="004354B0" w:rsidRDefault="00B97CCA" w:rsidP="00B97CCA">
              <w:pPr>
                <w:pStyle w:val="ae"/>
                <w:spacing w:after="240"/>
                <w:jc w:val="center"/>
                <w:rPr>
                  <w:rFonts w:ascii="Arial" w:hAnsi="Arial" w:cs="Arial"/>
                  <w:lang w:val="ru-RU"/>
                </w:rPr>
              </w:pPr>
              <w:r w:rsidRPr="00B97CCA">
                <w:rPr>
                  <w:rFonts w:ascii="Arial" w:eastAsia="Arial Bold" w:hAnsi="Arial" w:cs="Arial"/>
                  <w:b/>
                  <w:bCs/>
                  <w:color w:val="222222"/>
                  <w:sz w:val="36"/>
                  <w:szCs w:val="36"/>
                  <w:lang w:val="ru-RU"/>
                </w:rPr>
                <w:t>Правила Бонусной программы по картам с лимитом овердрафт «10% cashback на Wildberries и Ozon»</w:t>
              </w:r>
            </w:p>
          </w:sdtContent>
        </w:sdt>
        <w:p w14:paraId="2AA56DC1" w14:textId="1C28D28F" w:rsidR="00BD0494" w:rsidRPr="00042D79" w:rsidRDefault="00BD0494" w:rsidP="00BD0494">
          <w:pPr>
            <w:pStyle w:val="ae"/>
            <w:spacing w:before="480"/>
            <w:rPr>
              <w:rFonts w:ascii="Arial" w:hAnsi="Arial" w:cs="Arial"/>
              <w:color w:val="4472C4" w:themeColor="accent1"/>
              <w:lang w:val="ru-RU"/>
            </w:rPr>
          </w:pPr>
        </w:p>
        <w:p w14:paraId="0D174CBC" w14:textId="362EFE6B" w:rsidR="00BD0494" w:rsidRPr="00042D79" w:rsidRDefault="00A30127">
          <w:pPr>
            <w:rPr>
              <w:rFonts w:ascii="Arial" w:hAnsi="Arial" w:cs="Arial"/>
            </w:rPr>
          </w:pPr>
        </w:p>
      </w:sdtContent>
    </w:sdt>
    <w:p w14:paraId="280A8291" w14:textId="43E31DC5" w:rsidR="00BD0494" w:rsidRPr="00042D79" w:rsidRDefault="00B756A9">
      <w:pPr>
        <w:rPr>
          <w:rFonts w:ascii="Arial" w:hAnsi="Arial" w:cs="Arial"/>
        </w:rPr>
      </w:pPr>
      <w:r w:rsidRPr="00042D79">
        <w:rPr>
          <w:rFonts w:ascii="Arial" w:hAnsi="Arial" w:cs="Arial"/>
          <w:noProof/>
          <w:lang w:eastAsia="ru-RU"/>
        </w:rPr>
        <w:drawing>
          <wp:anchor distT="0" distB="0" distL="114300" distR="114300" simplePos="0" relativeHeight="251658240" behindDoc="0" locked="0" layoutInCell="1" allowOverlap="1" wp14:anchorId="59C93F80" wp14:editId="0E368F0D">
            <wp:simplePos x="0" y="0"/>
            <wp:positionH relativeFrom="margin">
              <wp:posOffset>1033145</wp:posOffset>
            </wp:positionH>
            <wp:positionV relativeFrom="margin">
              <wp:posOffset>4536440</wp:posOffset>
            </wp:positionV>
            <wp:extent cx="4368800" cy="3961765"/>
            <wp:effectExtent l="0" t="0" r="0" b="0"/>
            <wp:wrapSquare wrapText="bothSides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368800" cy="396176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600981" w:rsidRPr="00042D79">
        <w:rPr>
          <w:rFonts w:ascii="Arial" w:hAnsi="Arial" w:cs="Arial"/>
        </w:rPr>
        <w:br w:type="page"/>
      </w:r>
    </w:p>
    <w:tbl>
      <w:tblPr>
        <w:tblStyle w:val="a3"/>
        <w:tblW w:w="1091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06"/>
        <w:gridCol w:w="4539"/>
        <w:gridCol w:w="5670"/>
      </w:tblGrid>
      <w:tr w:rsidR="00600981" w:rsidRPr="00042D79" w14:paraId="513DF369" w14:textId="77777777" w:rsidTr="00B53B84">
        <w:trPr>
          <w:trHeight w:val="227"/>
          <w:jc w:val="center"/>
        </w:trPr>
        <w:tc>
          <w:tcPr>
            <w:tcW w:w="10915" w:type="dxa"/>
            <w:gridSpan w:val="3"/>
            <w:shd w:val="clear" w:color="auto" w:fill="F5F5F5"/>
          </w:tcPr>
          <w:p w14:paraId="3C382706" w14:textId="4233D2F7" w:rsidR="00600981" w:rsidRPr="00042D79" w:rsidRDefault="00600981" w:rsidP="008665C5">
            <w:pPr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 w:rsidRPr="00042D79">
              <w:rPr>
                <w:rFonts w:ascii="Arial" w:eastAsia="Arial Bold" w:hAnsi="Arial" w:cs="Arial"/>
                <w:b/>
                <w:bCs/>
                <w:color w:val="222222"/>
              </w:rPr>
              <w:lastRenderedPageBreak/>
              <w:t>Термины и определения, применяемые в документе</w:t>
            </w:r>
          </w:p>
        </w:tc>
      </w:tr>
      <w:tr w:rsidR="00600981" w:rsidRPr="00DC1165" w14:paraId="399FC388" w14:textId="77777777" w:rsidTr="00B53B84">
        <w:trPr>
          <w:trHeight w:val="12980"/>
          <w:jc w:val="center"/>
        </w:trPr>
        <w:tc>
          <w:tcPr>
            <w:tcW w:w="5245" w:type="dxa"/>
            <w:gridSpan w:val="2"/>
            <w:tcBorders>
              <w:right w:val="single" w:sz="4" w:space="0" w:color="AEAAAA" w:themeColor="background2" w:themeShade="BF"/>
            </w:tcBorders>
          </w:tcPr>
          <w:p w14:paraId="3B63536C" w14:textId="01482BA5" w:rsidR="00600981" w:rsidRPr="00DC1165" w:rsidRDefault="009F0B5D" w:rsidP="00600981">
            <w:pPr>
              <w:spacing w:before="120" w:after="120" w:line="276" w:lineRule="auto"/>
              <w:rPr>
                <w:rFonts w:ascii="Arial" w:eastAsia="Arial Bold" w:hAnsi="Arial" w:cs="Arial"/>
                <w:b/>
                <w:bCs/>
                <w:color w:val="222222"/>
                <w:sz w:val="16"/>
                <w:szCs w:val="16"/>
              </w:rPr>
            </w:pPr>
            <w:r>
              <w:rPr>
                <w:rFonts w:ascii="Arial" w:eastAsia="Arial Bold" w:hAnsi="Arial" w:cs="Arial"/>
                <w:b/>
                <w:bCs/>
                <w:color w:val="222222"/>
                <w:sz w:val="16"/>
                <w:szCs w:val="16"/>
              </w:rPr>
              <w:t>Б</w:t>
            </w:r>
            <w:r w:rsidR="00600981" w:rsidRPr="00DC1165">
              <w:rPr>
                <w:rFonts w:ascii="Arial" w:eastAsia="Arial Bold" w:hAnsi="Arial" w:cs="Arial"/>
                <w:b/>
                <w:bCs/>
                <w:color w:val="222222"/>
                <w:sz w:val="16"/>
                <w:szCs w:val="16"/>
              </w:rPr>
              <w:t>анк</w:t>
            </w:r>
          </w:p>
          <w:p w14:paraId="5F6B3728" w14:textId="605EAE51" w:rsidR="00600981" w:rsidRPr="00DC1165" w:rsidRDefault="00600981" w:rsidP="00600981">
            <w:pPr>
              <w:spacing w:line="240" w:lineRule="atLeast"/>
              <w:rPr>
                <w:rFonts w:ascii="Arial" w:eastAsia="Arial Regular" w:hAnsi="Arial" w:cs="Arial"/>
                <w:color w:val="222222"/>
                <w:sz w:val="16"/>
                <w:szCs w:val="16"/>
              </w:rPr>
            </w:pPr>
            <w:r w:rsidRPr="00DC1165">
              <w:rPr>
                <w:rFonts w:ascii="Arial" w:eastAsia="Arial Regular" w:hAnsi="Arial" w:cs="Arial"/>
                <w:color w:val="222222"/>
                <w:sz w:val="16"/>
                <w:szCs w:val="16"/>
              </w:rPr>
              <w:t xml:space="preserve">Акционерное общество «ОТП Банк» </w:t>
            </w:r>
            <w:r w:rsidR="00FA410D">
              <w:rPr>
                <w:rFonts w:ascii="Arial" w:eastAsia="Arial Regular" w:hAnsi="Arial" w:cs="Arial"/>
                <w:color w:val="222222"/>
                <w:sz w:val="16"/>
                <w:szCs w:val="16"/>
              </w:rPr>
              <w:t xml:space="preserve">- </w:t>
            </w:r>
            <w:r w:rsidRPr="00DC1165">
              <w:rPr>
                <w:rFonts w:ascii="Arial" w:eastAsia="Arial Regular" w:hAnsi="Arial" w:cs="Arial"/>
                <w:color w:val="222222"/>
                <w:sz w:val="16"/>
                <w:szCs w:val="16"/>
              </w:rPr>
              <w:t>АО «ОТП Банк», ИНН 7708001614, адрес: 125171, г. Москва, Ленинградское шоссе, д.16А, стр. 2, является организатором Программы.</w:t>
            </w:r>
          </w:p>
          <w:p w14:paraId="41CBFDBF" w14:textId="77777777" w:rsidR="00600981" w:rsidRPr="00DC1165" w:rsidRDefault="00600981" w:rsidP="00600981">
            <w:pPr>
              <w:spacing w:before="120" w:after="120" w:line="276" w:lineRule="auto"/>
              <w:rPr>
                <w:rFonts w:ascii="Arial" w:eastAsia="Arial Bold" w:hAnsi="Arial" w:cs="Arial"/>
                <w:b/>
                <w:bCs/>
                <w:color w:val="222222"/>
                <w:sz w:val="16"/>
                <w:szCs w:val="16"/>
              </w:rPr>
            </w:pPr>
            <w:r w:rsidRPr="00DC1165">
              <w:rPr>
                <w:rFonts w:ascii="Arial" w:eastAsia="Arial Bold" w:hAnsi="Arial" w:cs="Arial"/>
                <w:b/>
                <w:bCs/>
                <w:color w:val="222222"/>
                <w:sz w:val="16"/>
                <w:szCs w:val="16"/>
              </w:rPr>
              <w:t>Бонусный рубль</w:t>
            </w:r>
          </w:p>
          <w:p w14:paraId="49D2679F" w14:textId="784DFC4C" w:rsidR="00600981" w:rsidRPr="00DC1165" w:rsidRDefault="00600981" w:rsidP="00600981">
            <w:pPr>
              <w:spacing w:before="120" w:after="120" w:line="276" w:lineRule="auto"/>
              <w:rPr>
                <w:rFonts w:ascii="Arial" w:eastAsia="Arial Regular" w:hAnsi="Arial" w:cs="Arial"/>
                <w:color w:val="222222"/>
                <w:sz w:val="16"/>
                <w:szCs w:val="16"/>
              </w:rPr>
            </w:pPr>
            <w:r w:rsidRPr="00DC1165">
              <w:rPr>
                <w:rFonts w:ascii="Arial" w:eastAsia="Arial Regular" w:hAnsi="Arial" w:cs="Arial"/>
                <w:color w:val="222222"/>
                <w:sz w:val="16"/>
                <w:szCs w:val="16"/>
              </w:rPr>
              <w:t xml:space="preserve">Условная единица, зачисляемая Банком на Бонусный счёт Участника Программы и конвертируемая Клиентом самостоятельно в денежные средства </w:t>
            </w:r>
            <w:r w:rsidR="00FA410D">
              <w:rPr>
                <w:rFonts w:ascii="Arial" w:eastAsia="Arial Regular" w:hAnsi="Arial" w:cs="Arial"/>
                <w:color w:val="222222"/>
                <w:sz w:val="16"/>
                <w:szCs w:val="16"/>
              </w:rPr>
              <w:t xml:space="preserve">- </w:t>
            </w:r>
            <w:r w:rsidR="00FA410D" w:rsidRPr="002D32A9">
              <w:rPr>
                <w:rFonts w:ascii="Arial" w:eastAsia="Arial Regular" w:hAnsi="Arial" w:cs="Arial"/>
                <w:b/>
                <w:color w:val="222222"/>
                <w:sz w:val="16"/>
                <w:szCs w:val="16"/>
              </w:rPr>
              <w:t>1 бонусный рубль равен 1 рублю</w:t>
            </w:r>
            <w:r w:rsidRPr="00DC1165">
              <w:rPr>
                <w:rFonts w:ascii="Arial" w:eastAsia="Arial Regular" w:hAnsi="Arial" w:cs="Arial"/>
                <w:color w:val="222222"/>
                <w:sz w:val="16"/>
                <w:szCs w:val="16"/>
              </w:rPr>
              <w:t>. Бонусный рубль списывается Банком с Бонусного счёта Участника в соответствии с Правилами.</w:t>
            </w:r>
          </w:p>
          <w:p w14:paraId="641C3CD6" w14:textId="6C5DA3FA" w:rsidR="00600981" w:rsidRPr="00DC1165" w:rsidRDefault="00600981" w:rsidP="00600981">
            <w:pPr>
              <w:spacing w:before="120" w:after="120" w:line="276" w:lineRule="auto"/>
              <w:rPr>
                <w:rFonts w:ascii="Arial" w:eastAsia="Arial Regular" w:hAnsi="Arial" w:cs="Arial"/>
                <w:color w:val="222222"/>
                <w:sz w:val="16"/>
                <w:szCs w:val="16"/>
              </w:rPr>
            </w:pPr>
            <w:r w:rsidRPr="00DC1165">
              <w:rPr>
                <w:rFonts w:ascii="Arial" w:eastAsia="Arial Regular" w:hAnsi="Arial" w:cs="Arial"/>
                <w:color w:val="222222"/>
                <w:sz w:val="16"/>
                <w:szCs w:val="16"/>
              </w:rPr>
              <w:t>Бонусные рубли используются только в учётных целях, не являются средством платежа, каким-либо видом валюты или ценной бумагой, и не могут быть подарены третьим лицам или переданы по наследству.</w:t>
            </w:r>
          </w:p>
          <w:p w14:paraId="0D9C468B" w14:textId="77777777" w:rsidR="00600981" w:rsidRPr="00DC1165" w:rsidRDefault="00600981" w:rsidP="00600981">
            <w:pPr>
              <w:spacing w:before="120" w:after="120" w:line="276" w:lineRule="auto"/>
              <w:rPr>
                <w:rFonts w:ascii="Arial" w:eastAsia="Arial Bold" w:hAnsi="Arial" w:cs="Arial"/>
                <w:b/>
                <w:bCs/>
                <w:color w:val="222222"/>
                <w:sz w:val="16"/>
                <w:szCs w:val="16"/>
              </w:rPr>
            </w:pPr>
            <w:r w:rsidRPr="00DC1165">
              <w:rPr>
                <w:rFonts w:ascii="Arial" w:eastAsia="Arial Bold" w:hAnsi="Arial" w:cs="Arial"/>
                <w:b/>
                <w:bCs/>
                <w:color w:val="222222"/>
                <w:sz w:val="16"/>
                <w:szCs w:val="16"/>
              </w:rPr>
              <w:t>Бонусная Операция</w:t>
            </w:r>
          </w:p>
          <w:p w14:paraId="6427CE7F" w14:textId="68094F31" w:rsidR="00600981" w:rsidRPr="00DC1165" w:rsidRDefault="00600981" w:rsidP="00600981">
            <w:pPr>
              <w:spacing w:line="240" w:lineRule="atLeast"/>
              <w:rPr>
                <w:rFonts w:ascii="Arial" w:eastAsia="Arial Regular" w:hAnsi="Arial" w:cs="Arial"/>
                <w:color w:val="222222"/>
                <w:sz w:val="16"/>
                <w:szCs w:val="16"/>
              </w:rPr>
            </w:pPr>
            <w:r w:rsidRPr="00DC1165">
              <w:rPr>
                <w:rFonts w:ascii="Arial" w:eastAsia="Arial Regular" w:hAnsi="Arial" w:cs="Arial"/>
                <w:color w:val="222222"/>
                <w:sz w:val="16"/>
                <w:szCs w:val="16"/>
              </w:rPr>
              <w:t>Совершённая Участником банковская операция по Счёту с использованием Карты и являющаяся в соответствии с Правилами основанием для зачисления на Бонусный счёт Участника соответствующего количества Бонусных рублей.</w:t>
            </w:r>
          </w:p>
          <w:p w14:paraId="482FFB1E" w14:textId="77777777" w:rsidR="00600981" w:rsidRPr="00DC1165" w:rsidRDefault="00600981" w:rsidP="00600981">
            <w:pPr>
              <w:spacing w:line="240" w:lineRule="atLeast"/>
              <w:rPr>
                <w:rFonts w:ascii="Arial" w:eastAsia="Arial Regular" w:hAnsi="Arial" w:cs="Arial"/>
                <w:color w:val="222222"/>
                <w:sz w:val="16"/>
                <w:szCs w:val="16"/>
              </w:rPr>
            </w:pPr>
          </w:p>
          <w:p w14:paraId="6629B880" w14:textId="77777777" w:rsidR="00600981" w:rsidRPr="00DC1165" w:rsidRDefault="00600981" w:rsidP="00600981">
            <w:pPr>
              <w:spacing w:before="120" w:after="120" w:line="276" w:lineRule="auto"/>
              <w:rPr>
                <w:rFonts w:ascii="Arial" w:eastAsia="Arial Bold" w:hAnsi="Arial" w:cs="Arial"/>
                <w:b/>
                <w:bCs/>
                <w:color w:val="222222"/>
                <w:sz w:val="16"/>
                <w:szCs w:val="16"/>
              </w:rPr>
            </w:pPr>
            <w:r w:rsidRPr="00DC1165">
              <w:rPr>
                <w:rFonts w:ascii="Arial" w:eastAsia="Arial Bold" w:hAnsi="Arial" w:cs="Arial"/>
                <w:b/>
                <w:bCs/>
                <w:color w:val="222222"/>
                <w:sz w:val="16"/>
                <w:szCs w:val="16"/>
              </w:rPr>
              <w:t>Бонусный счёт</w:t>
            </w:r>
          </w:p>
          <w:p w14:paraId="7BDCFE00" w14:textId="760FABBD" w:rsidR="00600981" w:rsidRPr="00DC1165" w:rsidRDefault="00600981" w:rsidP="00600981">
            <w:pPr>
              <w:spacing w:before="120" w:after="120" w:line="276" w:lineRule="auto"/>
              <w:rPr>
                <w:rFonts w:ascii="Arial" w:eastAsia="Arial Regular" w:hAnsi="Arial" w:cs="Arial"/>
                <w:color w:val="222222"/>
                <w:sz w:val="16"/>
                <w:szCs w:val="16"/>
              </w:rPr>
            </w:pPr>
            <w:r w:rsidRPr="00DC1165">
              <w:rPr>
                <w:rFonts w:ascii="Arial" w:eastAsia="Arial Regular" w:hAnsi="Arial" w:cs="Arial"/>
                <w:color w:val="222222"/>
                <w:sz w:val="16"/>
                <w:szCs w:val="16"/>
              </w:rPr>
              <w:t>Счёт Участника во внутренней учётной системе Банка, на который в соответствии с Правилами Банком зачисляются, а Клиентом списываются Бонусные рубли путём их конвертации в денежные средства. Бонусный счёт не является банковским счётом, к которому эмитирована Карта.</w:t>
            </w:r>
          </w:p>
          <w:p w14:paraId="6C0EFB62" w14:textId="688B5939" w:rsidR="00600981" w:rsidRPr="00DC1165" w:rsidRDefault="00600981" w:rsidP="00600981">
            <w:pPr>
              <w:spacing w:before="120" w:after="120" w:line="276" w:lineRule="auto"/>
              <w:rPr>
                <w:rFonts w:ascii="Arial" w:eastAsia="Arial Bold" w:hAnsi="Arial" w:cs="Arial"/>
                <w:b/>
                <w:bCs/>
                <w:color w:val="222222"/>
                <w:sz w:val="16"/>
                <w:szCs w:val="16"/>
              </w:rPr>
            </w:pPr>
            <w:r w:rsidRPr="00DC1165">
              <w:rPr>
                <w:rFonts w:ascii="Arial" w:eastAsia="Arial Bold" w:hAnsi="Arial" w:cs="Arial"/>
                <w:b/>
                <w:bCs/>
                <w:color w:val="222222"/>
                <w:sz w:val="16"/>
                <w:szCs w:val="16"/>
              </w:rPr>
              <w:t>Договор</w:t>
            </w:r>
          </w:p>
          <w:p w14:paraId="44EAD3B3" w14:textId="6409C71B" w:rsidR="00600981" w:rsidRPr="00DC1165" w:rsidRDefault="00600981" w:rsidP="00600981">
            <w:pPr>
              <w:spacing w:line="240" w:lineRule="atLeast"/>
              <w:rPr>
                <w:rFonts w:ascii="Arial" w:eastAsia="Arial Regular" w:hAnsi="Arial" w:cs="Arial"/>
                <w:color w:val="222222"/>
                <w:sz w:val="16"/>
                <w:szCs w:val="16"/>
              </w:rPr>
            </w:pPr>
            <w:r w:rsidRPr="00DC1165">
              <w:rPr>
                <w:rFonts w:ascii="Arial" w:eastAsia="Arial Regular" w:hAnsi="Arial" w:cs="Arial"/>
                <w:color w:val="222222"/>
                <w:sz w:val="16"/>
                <w:szCs w:val="16"/>
              </w:rPr>
              <w:t xml:space="preserve">Договор о предоставлении и обслуживании Карты, заключенный между Банком и физическим лицом в рамках </w:t>
            </w:r>
            <w:r w:rsidRPr="000331D3">
              <w:rPr>
                <w:rFonts w:ascii="Arial" w:eastAsia="Arial Regular" w:hAnsi="Arial" w:cs="Arial"/>
                <w:b/>
                <w:color w:val="222222"/>
                <w:sz w:val="16"/>
                <w:szCs w:val="16"/>
              </w:rPr>
              <w:t>Тарифа</w:t>
            </w:r>
            <w:r w:rsidR="009F0B5D" w:rsidRPr="000331D3">
              <w:rPr>
                <w:rStyle w:val="af5"/>
                <w:rFonts w:ascii="Times New Roman" w:hAnsi="Times New Roman" w:cs="Times New Roman"/>
                <w:b/>
                <w:sz w:val="20"/>
                <w:szCs w:val="20"/>
              </w:rPr>
              <w:footnoteReference w:id="1"/>
            </w:r>
            <w:r w:rsidRPr="000331D3">
              <w:rPr>
                <w:rFonts w:ascii="Arial" w:eastAsia="Arial Regular" w:hAnsi="Arial" w:cs="Arial"/>
                <w:b/>
                <w:color w:val="222222"/>
                <w:sz w:val="16"/>
                <w:szCs w:val="16"/>
              </w:rPr>
              <w:t>.</w:t>
            </w:r>
          </w:p>
          <w:p w14:paraId="6598181A" w14:textId="16E18A3E" w:rsidR="00600981" w:rsidRPr="00DC1165" w:rsidRDefault="00600981" w:rsidP="00600981">
            <w:pPr>
              <w:spacing w:line="240" w:lineRule="atLeast"/>
              <w:rPr>
                <w:rFonts w:ascii="Arial" w:hAnsi="Arial" w:cs="Arial"/>
              </w:rPr>
            </w:pPr>
          </w:p>
          <w:p w14:paraId="65813C78" w14:textId="4D7D99D8" w:rsidR="00600981" w:rsidRPr="00DC1165" w:rsidRDefault="00600981" w:rsidP="00600981">
            <w:pPr>
              <w:spacing w:line="240" w:lineRule="atLeast"/>
              <w:rPr>
                <w:rFonts w:ascii="Arial" w:eastAsia="Arial Bold" w:hAnsi="Arial" w:cs="Arial"/>
                <w:b/>
                <w:bCs/>
                <w:color w:val="222222"/>
                <w:sz w:val="16"/>
                <w:szCs w:val="16"/>
              </w:rPr>
            </w:pPr>
            <w:r w:rsidRPr="00DC1165">
              <w:rPr>
                <w:rFonts w:ascii="Arial" w:eastAsia="Arial Bold" w:hAnsi="Arial" w:cs="Arial"/>
                <w:b/>
                <w:bCs/>
                <w:color w:val="222222"/>
                <w:sz w:val="16"/>
                <w:szCs w:val="16"/>
              </w:rPr>
              <w:t>Карта</w:t>
            </w:r>
          </w:p>
          <w:p w14:paraId="6683E489" w14:textId="1A8DC3F9" w:rsidR="00600981" w:rsidRPr="000331D3" w:rsidRDefault="00600981" w:rsidP="00600981">
            <w:pPr>
              <w:spacing w:line="240" w:lineRule="atLeast"/>
              <w:rPr>
                <w:rFonts w:ascii="Arial" w:eastAsia="Arial Regular" w:hAnsi="Arial" w:cs="Arial"/>
                <w:b/>
                <w:color w:val="222222"/>
                <w:sz w:val="16"/>
                <w:szCs w:val="16"/>
              </w:rPr>
            </w:pPr>
            <w:r w:rsidRPr="00DC1165">
              <w:rPr>
                <w:rFonts w:ascii="Arial" w:eastAsia="Arial Regular" w:hAnsi="Arial" w:cs="Arial"/>
                <w:color w:val="222222"/>
                <w:sz w:val="16"/>
                <w:szCs w:val="16"/>
              </w:rPr>
              <w:t xml:space="preserve">Эмитируемая Банком в соответствии с Договором банковская карта, выпущенная в рамках </w:t>
            </w:r>
            <w:r w:rsidRPr="000331D3">
              <w:rPr>
                <w:rFonts w:ascii="Arial" w:eastAsia="Arial Regular" w:hAnsi="Arial" w:cs="Arial"/>
                <w:b/>
                <w:color w:val="222222"/>
                <w:sz w:val="16"/>
                <w:szCs w:val="16"/>
              </w:rPr>
              <w:t>Тарифа</w:t>
            </w:r>
            <w:r w:rsidR="00EB6555" w:rsidRPr="000331D3">
              <w:rPr>
                <w:rFonts w:ascii="Arial" w:eastAsia="Arial Regular" w:hAnsi="Arial" w:cs="Arial"/>
                <w:b/>
                <w:color w:val="222222"/>
                <w:sz w:val="16"/>
                <w:szCs w:val="16"/>
                <w:vertAlign w:val="superscript"/>
              </w:rPr>
              <w:t>1</w:t>
            </w:r>
            <w:r w:rsidRPr="000331D3">
              <w:rPr>
                <w:rFonts w:ascii="Arial" w:eastAsia="Arial Regular" w:hAnsi="Arial" w:cs="Arial"/>
                <w:b/>
                <w:color w:val="222222"/>
                <w:sz w:val="16"/>
                <w:szCs w:val="16"/>
              </w:rPr>
              <w:t>.</w:t>
            </w:r>
          </w:p>
          <w:p w14:paraId="65A5B5CB" w14:textId="213C18DF" w:rsidR="00600981" w:rsidRPr="00DC1165" w:rsidRDefault="00600981" w:rsidP="00600981">
            <w:pPr>
              <w:spacing w:line="240" w:lineRule="atLeast"/>
              <w:rPr>
                <w:rFonts w:ascii="Arial" w:hAnsi="Arial" w:cs="Arial"/>
              </w:rPr>
            </w:pPr>
          </w:p>
          <w:p w14:paraId="1992DA9C" w14:textId="10F0241F" w:rsidR="00600981" w:rsidRPr="00DC1165" w:rsidRDefault="00600981" w:rsidP="00600981">
            <w:pPr>
              <w:spacing w:line="240" w:lineRule="atLeast"/>
              <w:rPr>
                <w:rFonts w:ascii="Arial" w:eastAsia="Arial Bold" w:hAnsi="Arial" w:cs="Arial"/>
                <w:b/>
                <w:bCs/>
                <w:color w:val="222222"/>
                <w:sz w:val="16"/>
                <w:szCs w:val="16"/>
              </w:rPr>
            </w:pPr>
            <w:r w:rsidRPr="00DC1165">
              <w:rPr>
                <w:rFonts w:ascii="Arial" w:eastAsia="Arial Bold" w:hAnsi="Arial" w:cs="Arial"/>
                <w:b/>
                <w:bCs/>
                <w:color w:val="222222"/>
                <w:sz w:val="16"/>
                <w:szCs w:val="16"/>
              </w:rPr>
              <w:t xml:space="preserve">Клиент Банка </w:t>
            </w:r>
            <w:r w:rsidR="00FA410D">
              <w:rPr>
                <w:rFonts w:ascii="Arial" w:eastAsia="Arial Bold" w:hAnsi="Arial" w:cs="Arial"/>
                <w:b/>
                <w:bCs/>
                <w:color w:val="222222"/>
                <w:sz w:val="16"/>
                <w:szCs w:val="16"/>
              </w:rPr>
              <w:t>- Клиент</w:t>
            </w:r>
          </w:p>
          <w:p w14:paraId="3FE21AF5" w14:textId="0572E4BC" w:rsidR="00600981" w:rsidRPr="00DC1165" w:rsidRDefault="00600981" w:rsidP="00600981">
            <w:pPr>
              <w:spacing w:line="240" w:lineRule="atLeast"/>
              <w:rPr>
                <w:rFonts w:ascii="Arial" w:eastAsia="Arial Regular" w:hAnsi="Arial" w:cs="Arial"/>
                <w:color w:val="222222"/>
                <w:sz w:val="16"/>
                <w:szCs w:val="16"/>
              </w:rPr>
            </w:pPr>
            <w:r w:rsidRPr="00DC1165">
              <w:rPr>
                <w:rFonts w:ascii="Arial" w:eastAsia="Arial Regular" w:hAnsi="Arial" w:cs="Arial"/>
                <w:color w:val="222222"/>
                <w:sz w:val="16"/>
                <w:szCs w:val="16"/>
              </w:rPr>
              <w:t>Физическое лицо, заключившее с Банком Договор.</w:t>
            </w:r>
          </w:p>
          <w:p w14:paraId="23BDB4D3" w14:textId="3FCEC2CB" w:rsidR="00600981" w:rsidRPr="00DC1165" w:rsidRDefault="00600981" w:rsidP="00600981">
            <w:pPr>
              <w:spacing w:line="240" w:lineRule="atLeast"/>
              <w:rPr>
                <w:rFonts w:ascii="Arial" w:hAnsi="Arial" w:cs="Arial"/>
              </w:rPr>
            </w:pPr>
          </w:p>
          <w:p w14:paraId="7A13ABCD" w14:textId="6B365EC1" w:rsidR="00600981" w:rsidRPr="00DC1165" w:rsidRDefault="00600981" w:rsidP="00600981">
            <w:pPr>
              <w:spacing w:line="240" w:lineRule="atLeast"/>
              <w:rPr>
                <w:rFonts w:ascii="Arial" w:eastAsia="Arial Bold" w:hAnsi="Arial" w:cs="Arial"/>
                <w:b/>
                <w:bCs/>
                <w:color w:val="222222"/>
                <w:sz w:val="16"/>
                <w:szCs w:val="16"/>
              </w:rPr>
            </w:pPr>
            <w:r w:rsidRPr="00DC1165">
              <w:rPr>
                <w:rFonts w:ascii="Arial" w:eastAsia="Arial Bold" w:hAnsi="Arial" w:cs="Arial"/>
                <w:b/>
                <w:bCs/>
                <w:color w:val="222222"/>
                <w:sz w:val="16"/>
                <w:szCs w:val="16"/>
              </w:rPr>
              <w:t>Личный кабинет ДБО</w:t>
            </w:r>
          </w:p>
          <w:p w14:paraId="1FDE0774" w14:textId="7D12C825" w:rsidR="00600981" w:rsidRDefault="00600981" w:rsidP="008E5B04">
            <w:pPr>
              <w:spacing w:after="240" w:line="240" w:lineRule="atLeast"/>
              <w:rPr>
                <w:rFonts w:ascii="Arial" w:eastAsia="Arial Regular" w:hAnsi="Arial" w:cs="Arial"/>
                <w:color w:val="222222"/>
                <w:sz w:val="16"/>
                <w:szCs w:val="16"/>
              </w:rPr>
            </w:pPr>
            <w:r w:rsidRPr="00DC1165">
              <w:rPr>
                <w:rFonts w:ascii="Arial" w:eastAsia="Arial Regular" w:hAnsi="Arial" w:cs="Arial"/>
                <w:color w:val="222222"/>
                <w:sz w:val="16"/>
                <w:szCs w:val="16"/>
              </w:rPr>
              <w:t>Личный кабинет дистанционного банковского обслуживания Клиента посредством Мобильного/Интернет Банка АО «ОТП Банк».</w:t>
            </w:r>
          </w:p>
          <w:p w14:paraId="40F5665F" w14:textId="77777777" w:rsidR="003217F9" w:rsidRDefault="003217F9" w:rsidP="003217F9">
            <w:pPr>
              <w:spacing w:line="240" w:lineRule="atLeast"/>
              <w:rPr>
                <w:rFonts w:ascii="Arial" w:eastAsia="Arial Regular" w:hAnsi="Arial" w:cs="Arial"/>
                <w:color w:val="222222"/>
                <w:sz w:val="16"/>
                <w:szCs w:val="16"/>
              </w:rPr>
            </w:pPr>
            <w:r w:rsidRPr="00851949">
              <w:rPr>
                <w:rFonts w:ascii="Arial" w:eastAsia="Arial Bold" w:hAnsi="Arial" w:cs="Arial"/>
                <w:b/>
                <w:bCs/>
                <w:color w:val="222222"/>
                <w:sz w:val="16"/>
                <w:szCs w:val="16"/>
              </w:rPr>
              <w:t>Отчётный период</w:t>
            </w:r>
            <w:r w:rsidRPr="00DC1165">
              <w:rPr>
                <w:rFonts w:ascii="Arial" w:eastAsia="Arial Regular" w:hAnsi="Arial" w:cs="Arial"/>
                <w:color w:val="222222"/>
                <w:sz w:val="16"/>
                <w:szCs w:val="16"/>
              </w:rPr>
              <w:t xml:space="preserve"> </w:t>
            </w:r>
          </w:p>
          <w:p w14:paraId="2165275A" w14:textId="77777777" w:rsidR="003217F9" w:rsidRPr="002A57C5" w:rsidRDefault="003217F9" w:rsidP="003217F9">
            <w:pPr>
              <w:spacing w:before="120" w:after="120" w:line="276" w:lineRule="auto"/>
              <w:rPr>
                <w:rFonts w:ascii="Arial" w:eastAsia="Arial Bold" w:hAnsi="Arial" w:cs="Arial"/>
                <w:b/>
                <w:bCs/>
                <w:color w:val="222222"/>
                <w:sz w:val="16"/>
                <w:szCs w:val="16"/>
              </w:rPr>
            </w:pPr>
            <w:r w:rsidRPr="00851949">
              <w:rPr>
                <w:rFonts w:ascii="Arial" w:eastAsia="Arial Regular" w:hAnsi="Arial" w:cs="Arial"/>
                <w:color w:val="222222"/>
                <w:sz w:val="16"/>
                <w:szCs w:val="16"/>
              </w:rPr>
              <w:t>Календарный месяц, в течение которого осуществляются Расходные операции по Карте</w:t>
            </w:r>
          </w:p>
          <w:p w14:paraId="3E3A0B78" w14:textId="62445438" w:rsidR="008E5B04" w:rsidRPr="00DC1165" w:rsidRDefault="008E5B04" w:rsidP="008E5B04">
            <w:pPr>
              <w:spacing w:before="120" w:after="120" w:line="276" w:lineRule="auto"/>
              <w:rPr>
                <w:rFonts w:ascii="Arial" w:eastAsia="Arial Bold" w:hAnsi="Arial" w:cs="Arial"/>
                <w:b/>
                <w:bCs/>
                <w:color w:val="222222"/>
                <w:sz w:val="16"/>
                <w:szCs w:val="16"/>
              </w:rPr>
            </w:pPr>
            <w:r w:rsidRPr="00DC1165">
              <w:rPr>
                <w:rFonts w:ascii="Arial" w:eastAsia="Arial Bold" w:hAnsi="Arial" w:cs="Arial"/>
                <w:b/>
                <w:bCs/>
                <w:color w:val="222222"/>
                <w:sz w:val="16"/>
                <w:szCs w:val="16"/>
              </w:rPr>
              <w:t>Правила</w:t>
            </w:r>
          </w:p>
          <w:p w14:paraId="00AAD8F9" w14:textId="53D6C1DA" w:rsidR="00600981" w:rsidRPr="00DC1165" w:rsidRDefault="008E5B04" w:rsidP="008E5B04">
            <w:pPr>
              <w:spacing w:line="240" w:lineRule="atLeast"/>
              <w:rPr>
                <w:rFonts w:ascii="Arial" w:hAnsi="Arial" w:cs="Arial"/>
              </w:rPr>
            </w:pPr>
            <w:r w:rsidRPr="00DC1165">
              <w:rPr>
                <w:rFonts w:ascii="Arial" w:eastAsia="Arial Regular" w:hAnsi="Arial" w:cs="Arial"/>
                <w:color w:val="222222"/>
                <w:sz w:val="16"/>
                <w:szCs w:val="16"/>
              </w:rPr>
              <w:t>Настоящий документ, определяющий условия и порядок участия Клиентов Банка в Программе. Правила размещены на сайте Банка по адресу:</w:t>
            </w:r>
            <w:r w:rsidRPr="00DC1165">
              <w:rPr>
                <w:rFonts w:ascii="Arial" w:eastAsia="Arial Regular" w:hAnsi="Arial" w:cs="Arial"/>
                <w:color w:val="428B26"/>
                <w:sz w:val="16"/>
                <w:szCs w:val="16"/>
              </w:rPr>
              <w:t xml:space="preserve"> </w:t>
            </w:r>
            <w:hyperlink r:id="rId10" w:history="1">
              <w:r w:rsidRPr="00DC1165">
                <w:rPr>
                  <w:rStyle w:val="ad"/>
                  <w:rFonts w:ascii="Arial" w:eastAsia="Arial Bold" w:hAnsi="Arial" w:cs="Arial"/>
                  <w:b/>
                  <w:bCs/>
                  <w:color w:val="428B26"/>
                  <w:sz w:val="16"/>
                  <w:szCs w:val="16"/>
                </w:rPr>
                <w:t>otpbank.ru/documents/</w:t>
              </w:r>
            </w:hyperlink>
          </w:p>
        </w:tc>
        <w:tc>
          <w:tcPr>
            <w:tcW w:w="5670" w:type="dxa"/>
            <w:tcBorders>
              <w:left w:val="single" w:sz="4" w:space="0" w:color="AEAAAA" w:themeColor="background2" w:themeShade="BF"/>
            </w:tcBorders>
          </w:tcPr>
          <w:p w14:paraId="059ADC31" w14:textId="5BE7A8B8" w:rsidR="00754A39" w:rsidRPr="00754A39" w:rsidRDefault="00754A39" w:rsidP="00600981">
            <w:pPr>
              <w:spacing w:before="120" w:after="120" w:line="276" w:lineRule="auto"/>
              <w:rPr>
                <w:rFonts w:ascii="Arial" w:eastAsia="Arial Bold" w:hAnsi="Arial" w:cs="Arial"/>
                <w:b/>
                <w:bCs/>
                <w:color w:val="222222"/>
                <w:sz w:val="16"/>
                <w:szCs w:val="16"/>
              </w:rPr>
            </w:pPr>
            <w:r w:rsidRPr="00DC1165">
              <w:rPr>
                <w:rFonts w:ascii="Arial" w:eastAsia="Arial Bold" w:hAnsi="Arial" w:cs="Arial"/>
                <w:b/>
                <w:bCs/>
                <w:color w:val="222222"/>
                <w:sz w:val="16"/>
                <w:szCs w:val="16"/>
              </w:rPr>
              <w:t xml:space="preserve">Программа </w:t>
            </w:r>
            <w:r>
              <w:rPr>
                <w:rFonts w:ascii="Arial" w:eastAsia="Arial Bold" w:hAnsi="Arial" w:cs="Arial"/>
                <w:b/>
                <w:bCs/>
                <w:color w:val="222222"/>
                <w:sz w:val="16"/>
                <w:szCs w:val="16"/>
              </w:rPr>
              <w:t xml:space="preserve">- </w:t>
            </w:r>
            <w:r w:rsidRPr="00DC1165">
              <w:rPr>
                <w:rFonts w:ascii="Arial" w:eastAsia="Arial Bold" w:hAnsi="Arial" w:cs="Arial"/>
                <w:b/>
                <w:bCs/>
                <w:color w:val="222222"/>
                <w:sz w:val="16"/>
                <w:szCs w:val="16"/>
              </w:rPr>
              <w:t xml:space="preserve">Бонусная программа по </w:t>
            </w:r>
            <w:r>
              <w:rPr>
                <w:rFonts w:ascii="Arial" w:eastAsia="Arial Bold" w:hAnsi="Arial" w:cs="Arial"/>
                <w:b/>
                <w:bCs/>
                <w:color w:val="222222"/>
                <w:sz w:val="16"/>
                <w:szCs w:val="16"/>
              </w:rPr>
              <w:t xml:space="preserve">Картам с лимитом овердрафт </w:t>
            </w:r>
            <w:r w:rsidRPr="00145299">
              <w:rPr>
                <w:rFonts w:ascii="Arial" w:eastAsia="Arial Bold" w:hAnsi="Arial" w:cs="Arial"/>
                <w:b/>
                <w:bCs/>
                <w:sz w:val="16"/>
                <w:szCs w:val="16"/>
              </w:rPr>
              <w:t>«10% cashback на Wildberries и Ozon»</w:t>
            </w:r>
            <w:r>
              <w:rPr>
                <w:rFonts w:ascii="Arial" w:eastAsia="Arial Bold" w:hAnsi="Arial" w:cs="Arial"/>
                <w:b/>
                <w:bCs/>
                <w:color w:val="222222"/>
                <w:sz w:val="16"/>
                <w:szCs w:val="16"/>
              </w:rPr>
              <w:t xml:space="preserve"> АО «ОТП Банк»</w:t>
            </w:r>
            <w:r w:rsidRPr="00754A39">
              <w:rPr>
                <w:rFonts w:ascii="Arial" w:eastAsia="Arial Bold" w:hAnsi="Arial" w:cs="Arial"/>
                <w:b/>
                <w:bCs/>
                <w:color w:val="222222"/>
                <w:sz w:val="16"/>
                <w:szCs w:val="16"/>
              </w:rPr>
              <w:t>.</w:t>
            </w:r>
          </w:p>
          <w:p w14:paraId="6C9151DC" w14:textId="3533218D" w:rsidR="00600981" w:rsidRPr="002D32A9" w:rsidRDefault="00600981" w:rsidP="00600981">
            <w:pPr>
              <w:spacing w:before="120" w:after="120" w:line="276" w:lineRule="auto"/>
              <w:rPr>
                <w:rFonts w:ascii="Arial" w:eastAsia="Arial Regular" w:hAnsi="Arial" w:cs="Arial"/>
                <w:color w:val="222222"/>
                <w:sz w:val="16"/>
                <w:szCs w:val="16"/>
              </w:rPr>
            </w:pPr>
            <w:r w:rsidRPr="00DC1165">
              <w:rPr>
                <w:rFonts w:ascii="Arial" w:eastAsia="Arial Regular" w:hAnsi="Arial" w:cs="Arial"/>
                <w:color w:val="222222"/>
                <w:sz w:val="16"/>
                <w:szCs w:val="16"/>
              </w:rPr>
              <w:t>Реализуемая Банком Бонусная программа лояльности, построенная на системе накопления и использования Бонусных рублей.</w:t>
            </w:r>
          </w:p>
          <w:p w14:paraId="0016C364" w14:textId="77777777" w:rsidR="00600981" w:rsidRPr="00DC1165" w:rsidRDefault="00600981" w:rsidP="00600981">
            <w:pPr>
              <w:spacing w:before="120" w:after="120" w:line="276" w:lineRule="auto"/>
              <w:rPr>
                <w:rFonts w:ascii="Arial" w:eastAsia="Arial Bold" w:hAnsi="Arial" w:cs="Arial"/>
                <w:b/>
                <w:bCs/>
                <w:color w:val="222222"/>
                <w:sz w:val="16"/>
                <w:szCs w:val="16"/>
              </w:rPr>
            </w:pPr>
            <w:r w:rsidRPr="00DC1165">
              <w:rPr>
                <w:rFonts w:ascii="Arial" w:eastAsia="Arial Bold" w:hAnsi="Arial" w:cs="Arial"/>
                <w:b/>
                <w:bCs/>
                <w:color w:val="222222"/>
                <w:sz w:val="16"/>
                <w:szCs w:val="16"/>
              </w:rPr>
              <w:t>Процедура Аннулирования Бонусных рублей</w:t>
            </w:r>
          </w:p>
          <w:p w14:paraId="486AD729" w14:textId="5E684B0E" w:rsidR="00600981" w:rsidRPr="002D32A9" w:rsidRDefault="00600981" w:rsidP="00600981">
            <w:pPr>
              <w:spacing w:before="120" w:after="120" w:line="276" w:lineRule="auto"/>
              <w:rPr>
                <w:rFonts w:ascii="Arial" w:eastAsia="Arial Regular" w:hAnsi="Arial" w:cs="Arial"/>
                <w:color w:val="222222"/>
                <w:sz w:val="16"/>
                <w:szCs w:val="16"/>
              </w:rPr>
            </w:pPr>
            <w:r w:rsidRPr="00DC1165">
              <w:rPr>
                <w:rFonts w:ascii="Arial" w:eastAsia="Arial Regular" w:hAnsi="Arial" w:cs="Arial"/>
                <w:color w:val="222222"/>
                <w:sz w:val="16"/>
                <w:szCs w:val="16"/>
              </w:rPr>
              <w:t>Отмена права Участника на выплату Бонусных рублей, ранее зачисленных на Бонусный счёт, путем списания Бонусных рублей с Бонусного счёта.</w:t>
            </w:r>
          </w:p>
          <w:p w14:paraId="7C717373" w14:textId="77777777" w:rsidR="00600981" w:rsidRPr="00DC1165" w:rsidRDefault="00600981" w:rsidP="00600981">
            <w:pPr>
              <w:spacing w:before="120" w:after="120" w:line="276" w:lineRule="auto"/>
              <w:rPr>
                <w:rFonts w:ascii="Arial" w:eastAsia="Arial Bold" w:hAnsi="Arial" w:cs="Arial"/>
                <w:b/>
                <w:bCs/>
                <w:color w:val="222222"/>
                <w:sz w:val="16"/>
                <w:szCs w:val="16"/>
              </w:rPr>
            </w:pPr>
            <w:r w:rsidRPr="00DC1165">
              <w:rPr>
                <w:rFonts w:ascii="Arial" w:eastAsia="Arial Bold" w:hAnsi="Arial" w:cs="Arial"/>
                <w:b/>
                <w:bCs/>
                <w:color w:val="222222"/>
                <w:sz w:val="16"/>
                <w:szCs w:val="16"/>
              </w:rPr>
              <w:t>Процедура Начисления Бонусных рублей</w:t>
            </w:r>
          </w:p>
          <w:p w14:paraId="55B1A7B2" w14:textId="5842DCBF" w:rsidR="00600981" w:rsidRPr="002D32A9" w:rsidRDefault="00600981" w:rsidP="002D32A9">
            <w:pPr>
              <w:spacing w:before="120" w:after="120" w:line="276" w:lineRule="auto"/>
              <w:rPr>
                <w:rFonts w:ascii="Arial" w:eastAsia="Arial Regular" w:hAnsi="Arial" w:cs="Arial"/>
                <w:color w:val="222222"/>
                <w:sz w:val="16"/>
                <w:szCs w:val="16"/>
              </w:rPr>
            </w:pPr>
            <w:r w:rsidRPr="00DC1165">
              <w:rPr>
                <w:rFonts w:ascii="Arial" w:eastAsia="Arial Regular" w:hAnsi="Arial" w:cs="Arial"/>
                <w:color w:val="222222"/>
                <w:sz w:val="16"/>
                <w:szCs w:val="16"/>
              </w:rPr>
              <w:t>Процедура, в результате которой происходит увеличение количества Бонусных рублей на Бонусном счёте Участника по основаниям, предусмотренным в Правилах.</w:t>
            </w:r>
          </w:p>
          <w:p w14:paraId="087F9F72" w14:textId="77777777" w:rsidR="00600981" w:rsidRPr="00DC1165" w:rsidRDefault="00600981" w:rsidP="00600981">
            <w:pPr>
              <w:spacing w:before="120" w:after="120" w:line="276" w:lineRule="auto"/>
              <w:rPr>
                <w:rFonts w:ascii="Arial" w:eastAsia="Arial Bold" w:hAnsi="Arial" w:cs="Arial"/>
                <w:b/>
                <w:bCs/>
                <w:color w:val="222222"/>
                <w:sz w:val="16"/>
                <w:szCs w:val="16"/>
              </w:rPr>
            </w:pPr>
            <w:r w:rsidRPr="00DC1165">
              <w:rPr>
                <w:rFonts w:ascii="Arial" w:eastAsia="Arial Bold" w:hAnsi="Arial" w:cs="Arial"/>
                <w:b/>
                <w:bCs/>
                <w:color w:val="222222"/>
                <w:sz w:val="16"/>
                <w:szCs w:val="16"/>
              </w:rPr>
              <w:t>Процедура Списания Бонусных рублей</w:t>
            </w:r>
          </w:p>
          <w:p w14:paraId="7B27E199" w14:textId="2EE303D3" w:rsidR="00600981" w:rsidRPr="002D32A9" w:rsidRDefault="00600981" w:rsidP="002D32A9">
            <w:pPr>
              <w:spacing w:before="120" w:after="120" w:line="276" w:lineRule="auto"/>
              <w:rPr>
                <w:rFonts w:ascii="Arial" w:eastAsia="Arial Regular" w:hAnsi="Arial" w:cs="Arial"/>
                <w:color w:val="222222"/>
                <w:sz w:val="16"/>
                <w:szCs w:val="16"/>
              </w:rPr>
            </w:pPr>
            <w:r w:rsidRPr="00DC1165">
              <w:rPr>
                <w:rFonts w:ascii="Arial" w:eastAsia="Arial Regular" w:hAnsi="Arial" w:cs="Arial"/>
                <w:color w:val="222222"/>
                <w:sz w:val="16"/>
                <w:szCs w:val="16"/>
              </w:rPr>
              <w:t>Процедура, в результате которой происходит уменьшение количества Бонусных рублей на Бонусном счёте Участника по основаниям, предусмотренным в Правилах.</w:t>
            </w:r>
          </w:p>
          <w:p w14:paraId="76FA1385" w14:textId="77777777" w:rsidR="00600981" w:rsidRPr="00DC1165" w:rsidRDefault="00600981" w:rsidP="00600981">
            <w:pPr>
              <w:spacing w:before="120" w:after="120" w:line="276" w:lineRule="auto"/>
              <w:rPr>
                <w:rFonts w:ascii="Arial" w:eastAsia="Arial Bold" w:hAnsi="Arial" w:cs="Arial"/>
                <w:b/>
                <w:bCs/>
                <w:color w:val="222222"/>
                <w:sz w:val="16"/>
                <w:szCs w:val="16"/>
              </w:rPr>
            </w:pPr>
            <w:r w:rsidRPr="00DC1165">
              <w:rPr>
                <w:rFonts w:ascii="Arial" w:eastAsia="Arial Bold" w:hAnsi="Arial" w:cs="Arial"/>
                <w:b/>
                <w:bCs/>
                <w:color w:val="222222"/>
                <w:sz w:val="16"/>
                <w:szCs w:val="16"/>
              </w:rPr>
              <w:t>Счёт</w:t>
            </w:r>
          </w:p>
          <w:p w14:paraId="73437E60" w14:textId="77777777" w:rsidR="00600981" w:rsidRPr="002774A4" w:rsidRDefault="00600981" w:rsidP="00600981">
            <w:pPr>
              <w:spacing w:before="120" w:after="120" w:line="276" w:lineRule="auto"/>
              <w:rPr>
                <w:rFonts w:ascii="Arial" w:eastAsia="Arial Regular" w:hAnsi="Arial" w:cs="Arial"/>
                <w:color w:val="222222"/>
                <w:sz w:val="16"/>
                <w:szCs w:val="16"/>
              </w:rPr>
            </w:pPr>
            <w:r w:rsidRPr="00DC1165">
              <w:rPr>
                <w:rFonts w:ascii="Arial" w:eastAsia="Arial Regular" w:hAnsi="Arial" w:cs="Arial"/>
                <w:color w:val="222222"/>
                <w:sz w:val="16"/>
                <w:szCs w:val="16"/>
              </w:rPr>
              <w:t>Текущий банковский счёт, открытый Участнику Программы в Банке на основании Договора, к которому эмитирована Карта.</w:t>
            </w:r>
          </w:p>
          <w:p w14:paraId="694D11BA" w14:textId="77777777" w:rsidR="0046279D" w:rsidRPr="002774A4" w:rsidRDefault="0046279D" w:rsidP="009F0B5D">
            <w:pPr>
              <w:spacing w:line="276" w:lineRule="auto"/>
              <w:rPr>
                <w:rFonts w:ascii="Arial" w:eastAsia="Arial Regular" w:hAnsi="Arial" w:cs="Arial"/>
                <w:color w:val="222222"/>
                <w:sz w:val="16"/>
                <w:szCs w:val="16"/>
              </w:rPr>
            </w:pPr>
          </w:p>
          <w:p w14:paraId="13A391CA" w14:textId="77777777" w:rsidR="00D619F1" w:rsidRPr="00042D79" w:rsidRDefault="00D619F1" w:rsidP="0046279D">
            <w:pPr>
              <w:spacing w:after="120" w:line="276" w:lineRule="auto"/>
              <w:rPr>
                <w:rFonts w:ascii="Arial" w:eastAsia="Arial Bold" w:hAnsi="Arial" w:cs="Arial"/>
                <w:b/>
                <w:bCs/>
                <w:color w:val="222222"/>
                <w:sz w:val="16"/>
                <w:szCs w:val="16"/>
              </w:rPr>
            </w:pPr>
            <w:r w:rsidRPr="00042D79">
              <w:rPr>
                <w:rFonts w:ascii="Arial" w:eastAsia="Arial Bold" w:hAnsi="Arial" w:cs="Arial"/>
                <w:b/>
                <w:bCs/>
                <w:color w:val="222222"/>
                <w:sz w:val="16"/>
                <w:szCs w:val="16"/>
              </w:rPr>
              <w:t>Т</w:t>
            </w:r>
            <w:r>
              <w:rPr>
                <w:rFonts w:ascii="Arial" w:eastAsia="Arial Bold" w:hAnsi="Arial" w:cs="Arial"/>
                <w:b/>
                <w:bCs/>
                <w:color w:val="222222"/>
                <w:sz w:val="16"/>
                <w:szCs w:val="16"/>
              </w:rPr>
              <w:t>арифы</w:t>
            </w:r>
          </w:p>
          <w:p w14:paraId="567D06D8" w14:textId="047686D5" w:rsidR="00600981" w:rsidRPr="002D32A9" w:rsidRDefault="00D619F1" w:rsidP="002D32A9">
            <w:pPr>
              <w:spacing w:before="120" w:after="120" w:line="276" w:lineRule="auto"/>
              <w:rPr>
                <w:rFonts w:ascii="Arial" w:eastAsia="Arial Regular" w:hAnsi="Arial" w:cs="Arial"/>
                <w:color w:val="404040" w:themeColor="text1" w:themeTint="BF"/>
                <w:sz w:val="16"/>
                <w:szCs w:val="16"/>
              </w:rPr>
            </w:pP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П</w:t>
            </w:r>
            <w:r w:rsidRPr="00A86532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еречень и размеры плат и комиссий, неустоек и иных платежей, взимаемых </w:t>
            </w:r>
            <w:r w:rsidRPr="00A86532">
              <w:rPr>
                <w:rFonts w:ascii="Arial" w:hAnsi="Arial" w:cs="Arial"/>
                <w:iCs/>
                <w:color w:val="404040" w:themeColor="text1" w:themeTint="BF"/>
                <w:sz w:val="16"/>
                <w:szCs w:val="16"/>
              </w:rPr>
              <w:t>Банком</w:t>
            </w:r>
            <w:r w:rsidRPr="00A86532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с </w:t>
            </w:r>
            <w:r w:rsidRPr="00A86532">
              <w:rPr>
                <w:rFonts w:ascii="Arial" w:hAnsi="Arial" w:cs="Arial"/>
                <w:iCs/>
                <w:color w:val="404040" w:themeColor="text1" w:themeTint="BF"/>
                <w:sz w:val="16"/>
                <w:szCs w:val="16"/>
              </w:rPr>
              <w:t>Клиента</w:t>
            </w:r>
            <w:r w:rsidRPr="00A86532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при осуществлении операций по Банковскому счету, расчетов при помощи Карты, размеры плат и комиссий, уплачиваемых </w:t>
            </w:r>
            <w:r w:rsidRPr="00A86532">
              <w:rPr>
                <w:rFonts w:ascii="Arial" w:hAnsi="Arial" w:cs="Arial"/>
                <w:iCs/>
                <w:color w:val="404040" w:themeColor="text1" w:themeTint="BF"/>
                <w:sz w:val="16"/>
                <w:szCs w:val="16"/>
              </w:rPr>
              <w:t>Банком Клиенту</w:t>
            </w:r>
            <w:r w:rsidRPr="00A86532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, </w:t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иные </w:t>
            </w:r>
            <w:r w:rsidRPr="00A86532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условия пользования Картой, заключаемы</w:t>
            </w:r>
            <w:r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е</w:t>
            </w:r>
            <w:r w:rsidRPr="00A86532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между </w:t>
            </w:r>
            <w:r w:rsidRPr="00A86532">
              <w:rPr>
                <w:rFonts w:ascii="Arial" w:hAnsi="Arial" w:cs="Arial"/>
                <w:iCs/>
                <w:color w:val="404040" w:themeColor="text1" w:themeTint="BF"/>
                <w:sz w:val="16"/>
                <w:szCs w:val="16"/>
              </w:rPr>
              <w:t>Банком</w:t>
            </w:r>
            <w:r w:rsidRPr="00A86532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 xml:space="preserve"> и </w:t>
            </w:r>
            <w:r w:rsidRPr="00A86532">
              <w:rPr>
                <w:rFonts w:ascii="Arial" w:hAnsi="Arial" w:cs="Arial"/>
                <w:iCs/>
                <w:color w:val="404040" w:themeColor="text1" w:themeTint="BF"/>
                <w:sz w:val="16"/>
                <w:szCs w:val="16"/>
              </w:rPr>
              <w:t>Клиентом</w:t>
            </w:r>
            <w:r w:rsidRPr="00A86532">
              <w:rPr>
                <w:rFonts w:ascii="Arial" w:hAnsi="Arial" w:cs="Arial"/>
                <w:color w:val="404040" w:themeColor="text1" w:themeTint="BF"/>
                <w:sz w:val="16"/>
                <w:szCs w:val="16"/>
              </w:rPr>
              <w:t>.</w:t>
            </w:r>
          </w:p>
          <w:p w14:paraId="36FED354" w14:textId="0DCAE6A5" w:rsidR="00600981" w:rsidRPr="00DC1165" w:rsidRDefault="00FA410D" w:rsidP="00600981">
            <w:pPr>
              <w:spacing w:before="120" w:after="120" w:line="276" w:lineRule="auto"/>
              <w:rPr>
                <w:rFonts w:ascii="Arial" w:eastAsia="Arial Bold" w:hAnsi="Arial" w:cs="Arial"/>
                <w:b/>
                <w:bCs/>
                <w:color w:val="222222"/>
                <w:sz w:val="16"/>
                <w:szCs w:val="16"/>
              </w:rPr>
            </w:pPr>
            <w:r>
              <w:rPr>
                <w:rFonts w:ascii="Arial" w:eastAsia="Arial Bold" w:hAnsi="Arial" w:cs="Arial"/>
                <w:b/>
                <w:bCs/>
                <w:color w:val="222222"/>
                <w:sz w:val="16"/>
                <w:szCs w:val="16"/>
              </w:rPr>
              <w:t xml:space="preserve">Торгово-сервисное предприятие - </w:t>
            </w:r>
            <w:r w:rsidR="00600981" w:rsidRPr="00DC1165">
              <w:rPr>
                <w:rFonts w:ascii="Arial" w:eastAsia="Arial Bold" w:hAnsi="Arial" w:cs="Arial"/>
                <w:b/>
                <w:bCs/>
                <w:color w:val="222222"/>
                <w:sz w:val="16"/>
                <w:szCs w:val="16"/>
              </w:rPr>
              <w:t>ТСП</w:t>
            </w:r>
          </w:p>
          <w:p w14:paraId="47B417F8" w14:textId="01911C0E" w:rsidR="00600981" w:rsidRPr="002D32A9" w:rsidRDefault="00600981" w:rsidP="002D32A9">
            <w:pPr>
              <w:spacing w:before="120" w:after="120" w:line="276" w:lineRule="auto"/>
              <w:rPr>
                <w:rFonts w:ascii="Arial" w:eastAsia="Arial Regular" w:hAnsi="Arial" w:cs="Arial"/>
                <w:color w:val="222222"/>
                <w:sz w:val="16"/>
                <w:szCs w:val="16"/>
              </w:rPr>
            </w:pPr>
            <w:r w:rsidRPr="00DC1165">
              <w:rPr>
                <w:rFonts w:ascii="Arial" w:eastAsia="Arial Regular" w:hAnsi="Arial" w:cs="Arial"/>
                <w:color w:val="222222"/>
                <w:sz w:val="16"/>
                <w:szCs w:val="16"/>
              </w:rPr>
              <w:t>Организация либо индивиду</w:t>
            </w:r>
            <w:r w:rsidR="00FA410D">
              <w:rPr>
                <w:rFonts w:ascii="Arial" w:eastAsia="Arial Regular" w:hAnsi="Arial" w:cs="Arial"/>
                <w:color w:val="222222"/>
                <w:sz w:val="16"/>
                <w:szCs w:val="16"/>
              </w:rPr>
              <w:t xml:space="preserve">альный предприниматель, товары, </w:t>
            </w:r>
            <w:r w:rsidRPr="00DC1165">
              <w:rPr>
                <w:rFonts w:ascii="Arial" w:eastAsia="Arial Regular" w:hAnsi="Arial" w:cs="Arial"/>
                <w:color w:val="222222"/>
                <w:sz w:val="16"/>
                <w:szCs w:val="16"/>
              </w:rPr>
              <w:t>услуги которой</w:t>
            </w:r>
            <w:r w:rsidR="00FA410D">
              <w:rPr>
                <w:rFonts w:ascii="Arial" w:eastAsia="Arial Regular" w:hAnsi="Arial" w:cs="Arial"/>
                <w:color w:val="222222"/>
                <w:sz w:val="16"/>
                <w:szCs w:val="16"/>
              </w:rPr>
              <w:t xml:space="preserve"> </w:t>
            </w:r>
            <w:r w:rsidRPr="00DC1165">
              <w:rPr>
                <w:rFonts w:ascii="Arial" w:eastAsia="Arial Regular" w:hAnsi="Arial" w:cs="Arial"/>
                <w:color w:val="222222"/>
                <w:sz w:val="16"/>
                <w:szCs w:val="16"/>
              </w:rPr>
              <w:t>могут быть оплачены Участником с использованием Карты.</w:t>
            </w:r>
          </w:p>
          <w:p w14:paraId="53908419" w14:textId="70C9AA25" w:rsidR="00600981" w:rsidRPr="00DC1165" w:rsidRDefault="00600981" w:rsidP="00600981">
            <w:pPr>
              <w:spacing w:before="120" w:after="120" w:line="276" w:lineRule="auto"/>
              <w:rPr>
                <w:rFonts w:ascii="Arial" w:eastAsia="Arial Bold" w:hAnsi="Arial" w:cs="Arial"/>
                <w:b/>
                <w:bCs/>
                <w:color w:val="222222"/>
                <w:sz w:val="16"/>
                <w:szCs w:val="16"/>
              </w:rPr>
            </w:pPr>
            <w:r w:rsidRPr="00DC1165">
              <w:rPr>
                <w:rFonts w:ascii="Arial" w:eastAsia="Arial Bold" w:hAnsi="Arial" w:cs="Arial"/>
                <w:b/>
                <w:bCs/>
                <w:color w:val="222222"/>
                <w:sz w:val="16"/>
                <w:szCs w:val="16"/>
              </w:rPr>
              <w:t xml:space="preserve">Участник Программы </w:t>
            </w:r>
            <w:r w:rsidR="00FA410D">
              <w:rPr>
                <w:rFonts w:ascii="Arial" w:eastAsia="Arial Bold" w:hAnsi="Arial" w:cs="Arial"/>
                <w:b/>
                <w:bCs/>
                <w:color w:val="222222"/>
                <w:sz w:val="16"/>
                <w:szCs w:val="16"/>
              </w:rPr>
              <w:t xml:space="preserve">- </w:t>
            </w:r>
            <w:r w:rsidRPr="00DC1165">
              <w:rPr>
                <w:rFonts w:ascii="Arial" w:eastAsia="Arial Bold" w:hAnsi="Arial" w:cs="Arial"/>
                <w:b/>
                <w:bCs/>
                <w:color w:val="222222"/>
                <w:sz w:val="16"/>
                <w:szCs w:val="16"/>
              </w:rPr>
              <w:t>Участник</w:t>
            </w:r>
          </w:p>
          <w:p w14:paraId="572C98E9" w14:textId="4C971878" w:rsidR="00600981" w:rsidRPr="00DC1165" w:rsidRDefault="00600981" w:rsidP="00600981">
            <w:pPr>
              <w:spacing w:before="120" w:after="120" w:line="276" w:lineRule="auto"/>
              <w:rPr>
                <w:rFonts w:ascii="Arial" w:eastAsia="Arial Regular" w:hAnsi="Arial" w:cs="Arial"/>
                <w:color w:val="222222"/>
                <w:sz w:val="16"/>
                <w:szCs w:val="16"/>
              </w:rPr>
            </w:pPr>
            <w:r w:rsidRPr="00DC1165">
              <w:rPr>
                <w:rFonts w:ascii="Arial" w:eastAsia="Arial Regular" w:hAnsi="Arial" w:cs="Arial"/>
                <w:color w:val="222222"/>
                <w:sz w:val="16"/>
                <w:szCs w:val="16"/>
              </w:rPr>
              <w:t>Клиент Банка, присоединившийся к Программе указанным в настоящих Правилах способом.</w:t>
            </w:r>
          </w:p>
          <w:p w14:paraId="3A5D9675" w14:textId="46D6723D" w:rsidR="00600981" w:rsidRPr="00DC1165" w:rsidRDefault="00600981" w:rsidP="00600981">
            <w:pPr>
              <w:spacing w:before="120" w:after="120" w:line="276" w:lineRule="auto"/>
              <w:rPr>
                <w:rFonts w:ascii="Arial" w:eastAsia="Arial Bold" w:hAnsi="Arial" w:cs="Arial"/>
                <w:b/>
                <w:bCs/>
                <w:color w:val="222222"/>
                <w:sz w:val="16"/>
                <w:szCs w:val="16"/>
                <w:lang w:val="en-US"/>
              </w:rPr>
            </w:pPr>
            <w:r w:rsidRPr="00DC1165">
              <w:rPr>
                <w:rFonts w:ascii="Arial" w:eastAsia="Arial Bold" w:hAnsi="Arial" w:cs="Arial"/>
                <w:b/>
                <w:bCs/>
                <w:color w:val="222222"/>
                <w:sz w:val="16"/>
                <w:szCs w:val="16"/>
                <w:lang w:val="en-US"/>
              </w:rPr>
              <w:t xml:space="preserve">Merchant Category Code </w:t>
            </w:r>
            <w:r w:rsidR="00FA410D" w:rsidRPr="00FA410D">
              <w:rPr>
                <w:rFonts w:ascii="Arial" w:eastAsia="Arial Bold" w:hAnsi="Arial" w:cs="Arial"/>
                <w:b/>
                <w:bCs/>
                <w:color w:val="222222"/>
                <w:sz w:val="16"/>
                <w:szCs w:val="16"/>
                <w:lang w:val="en-US"/>
              </w:rPr>
              <w:t xml:space="preserve">- </w:t>
            </w:r>
            <w:r w:rsidRPr="00DC1165">
              <w:rPr>
                <w:rFonts w:ascii="Arial" w:eastAsia="Arial Bold" w:hAnsi="Arial" w:cs="Arial"/>
                <w:b/>
                <w:bCs/>
                <w:color w:val="222222"/>
                <w:sz w:val="16"/>
                <w:szCs w:val="16"/>
              </w:rPr>
              <w:t>МСС</w:t>
            </w:r>
            <w:r w:rsidRPr="00DC1165">
              <w:rPr>
                <w:rFonts w:ascii="Arial" w:eastAsia="Arial Bold" w:hAnsi="Arial" w:cs="Arial"/>
                <w:b/>
                <w:bCs/>
                <w:color w:val="222222"/>
                <w:sz w:val="16"/>
                <w:szCs w:val="16"/>
                <w:lang w:val="en-US"/>
              </w:rPr>
              <w:t xml:space="preserve">, </w:t>
            </w:r>
            <w:r w:rsidRPr="00DC1165">
              <w:rPr>
                <w:rFonts w:ascii="Arial" w:eastAsia="Arial Bold" w:hAnsi="Arial" w:cs="Arial"/>
                <w:b/>
                <w:bCs/>
                <w:color w:val="222222"/>
                <w:sz w:val="16"/>
                <w:szCs w:val="16"/>
              </w:rPr>
              <w:t>МСС</w:t>
            </w:r>
            <w:r w:rsidRPr="00DC1165">
              <w:rPr>
                <w:rFonts w:ascii="Arial" w:eastAsia="Arial Bold" w:hAnsi="Arial" w:cs="Arial"/>
                <w:b/>
                <w:bCs/>
                <w:color w:val="222222"/>
                <w:sz w:val="16"/>
                <w:szCs w:val="16"/>
                <w:lang w:val="en-US"/>
              </w:rPr>
              <w:t>-</w:t>
            </w:r>
            <w:r w:rsidRPr="00DC1165">
              <w:rPr>
                <w:rFonts w:ascii="Arial" w:eastAsia="Arial Bold" w:hAnsi="Arial" w:cs="Arial"/>
                <w:b/>
                <w:bCs/>
                <w:color w:val="222222"/>
                <w:sz w:val="16"/>
                <w:szCs w:val="16"/>
              </w:rPr>
              <w:t>код</w:t>
            </w:r>
          </w:p>
          <w:p w14:paraId="71FD00C6" w14:textId="094BFF40" w:rsidR="00600981" w:rsidRPr="00DC1165" w:rsidRDefault="00600981" w:rsidP="00600981">
            <w:pPr>
              <w:spacing w:before="120" w:after="120" w:line="276" w:lineRule="auto"/>
              <w:rPr>
                <w:rFonts w:ascii="Arial" w:eastAsia="Arial Regular" w:hAnsi="Arial" w:cs="Arial"/>
                <w:color w:val="222222"/>
                <w:sz w:val="16"/>
                <w:szCs w:val="16"/>
              </w:rPr>
            </w:pPr>
            <w:r w:rsidRPr="00DC1165">
              <w:rPr>
                <w:rFonts w:ascii="Arial" w:eastAsia="Arial Regular" w:hAnsi="Arial" w:cs="Arial"/>
                <w:color w:val="222222"/>
                <w:sz w:val="16"/>
                <w:szCs w:val="16"/>
              </w:rPr>
              <w:t>Четырёхзначный код категории Торгово-сервисного предприятия, определяющий вид деятельности продавца при операциях с банковской картой.</w:t>
            </w:r>
          </w:p>
          <w:p w14:paraId="35528407" w14:textId="33CAF5B4" w:rsidR="00600981" w:rsidRPr="00DC1165" w:rsidRDefault="00600981" w:rsidP="00600981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DC1165">
              <w:rPr>
                <w:rFonts w:ascii="Arial" w:eastAsia="Arial Regular" w:hAnsi="Arial" w:cs="Arial"/>
                <w:color w:val="222222"/>
                <w:sz w:val="16"/>
                <w:szCs w:val="16"/>
              </w:rPr>
              <w:t>Клиенты ОТП Банка могут проверить МСС-коды ранее совершённых покупок в мобильном приложении ОТП Банк в разделе «История», в выписке по операции, нажав на конкретную операцию/покупку.</w:t>
            </w:r>
          </w:p>
        </w:tc>
      </w:tr>
      <w:tr w:rsidR="00600981" w:rsidRPr="00042D79" w14:paraId="21798B5E" w14:textId="77777777" w:rsidTr="00B53B84">
        <w:trPr>
          <w:trHeight w:val="227"/>
          <w:jc w:val="center"/>
        </w:trPr>
        <w:tc>
          <w:tcPr>
            <w:tcW w:w="706" w:type="dxa"/>
            <w:shd w:val="clear" w:color="auto" w:fill="F5F5F5"/>
          </w:tcPr>
          <w:p w14:paraId="5B0FEE14" w14:textId="385EE157" w:rsidR="00600981" w:rsidRPr="00042D79" w:rsidRDefault="00600981" w:rsidP="00600981">
            <w:pPr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 w:rsidRPr="00042D79">
              <w:rPr>
                <w:rFonts w:ascii="Arial" w:hAnsi="Arial" w:cs="Arial"/>
                <w:b/>
                <w:bCs/>
              </w:rPr>
              <w:lastRenderedPageBreak/>
              <w:t>1.</w:t>
            </w:r>
          </w:p>
        </w:tc>
        <w:tc>
          <w:tcPr>
            <w:tcW w:w="10209" w:type="dxa"/>
            <w:gridSpan w:val="2"/>
            <w:shd w:val="clear" w:color="auto" w:fill="F5F5F5"/>
          </w:tcPr>
          <w:p w14:paraId="0D2D649D" w14:textId="6CDCF5BB" w:rsidR="00600981" w:rsidRPr="00042D79" w:rsidRDefault="00600981" w:rsidP="00600981">
            <w:pPr>
              <w:spacing w:before="120" w:after="120" w:line="276" w:lineRule="auto"/>
              <w:rPr>
                <w:rFonts w:ascii="Arial" w:eastAsia="Arial Bold" w:hAnsi="Arial" w:cs="Arial"/>
                <w:b/>
                <w:bCs/>
                <w:color w:val="222222"/>
              </w:rPr>
            </w:pPr>
            <w:r w:rsidRPr="00042D79">
              <w:rPr>
                <w:rFonts w:ascii="Arial" w:eastAsia="Arial Bold" w:hAnsi="Arial" w:cs="Arial"/>
                <w:b/>
                <w:bCs/>
                <w:color w:val="222222"/>
              </w:rPr>
              <w:t>Общие положения</w:t>
            </w:r>
          </w:p>
        </w:tc>
      </w:tr>
      <w:tr w:rsidR="00600981" w:rsidRPr="00042D79" w14:paraId="7E0A1966" w14:textId="77777777" w:rsidTr="00B53B84">
        <w:trPr>
          <w:trHeight w:val="775"/>
          <w:jc w:val="center"/>
        </w:trPr>
        <w:tc>
          <w:tcPr>
            <w:tcW w:w="706" w:type="dxa"/>
          </w:tcPr>
          <w:p w14:paraId="2D814A65" w14:textId="5B3DD1DA" w:rsidR="00600981" w:rsidRPr="00042D79" w:rsidRDefault="00600981" w:rsidP="00DC1165">
            <w:pPr>
              <w:spacing w:before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042D79">
              <w:rPr>
                <w:rFonts w:ascii="Arial" w:hAnsi="Arial" w:cs="Arial"/>
                <w:sz w:val="16"/>
                <w:szCs w:val="16"/>
              </w:rPr>
              <w:t>1.1.</w:t>
            </w:r>
          </w:p>
        </w:tc>
        <w:tc>
          <w:tcPr>
            <w:tcW w:w="10209" w:type="dxa"/>
            <w:gridSpan w:val="2"/>
            <w:vAlign w:val="center"/>
          </w:tcPr>
          <w:p w14:paraId="7310B85D" w14:textId="21F99B49" w:rsidR="00754A39" w:rsidRPr="00786C59" w:rsidRDefault="00754A39" w:rsidP="00E722B1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eastAsia="Arial Regular" w:hAnsi="Arial" w:cs="Arial"/>
                <w:sz w:val="16"/>
                <w:szCs w:val="16"/>
              </w:rPr>
            </w:pPr>
            <w:r w:rsidRPr="00786C59">
              <w:rPr>
                <w:rFonts w:ascii="Arial" w:eastAsia="Arial Regular" w:hAnsi="Arial" w:cs="Arial"/>
                <w:sz w:val="16"/>
                <w:szCs w:val="16"/>
              </w:rPr>
              <w:t xml:space="preserve">Настоящий документ определяет условия проведения Банком </w:t>
            </w:r>
            <w:r w:rsidRPr="00786C59">
              <w:rPr>
                <w:rFonts w:ascii="Arial" w:hAnsi="Arial" w:cs="Arial"/>
                <w:sz w:val="16"/>
                <w:szCs w:val="16"/>
              </w:rPr>
              <w:t xml:space="preserve">и порядок участия Клиентов Банка </w:t>
            </w:r>
            <w:r w:rsidR="00DD04F8" w:rsidRPr="00786C59">
              <w:rPr>
                <w:rFonts w:ascii="Arial" w:hAnsi="Arial" w:cs="Arial"/>
                <w:sz w:val="16"/>
                <w:szCs w:val="16"/>
              </w:rPr>
              <w:t xml:space="preserve">в Бонусной </w:t>
            </w:r>
            <w:r w:rsidR="00DD04F8" w:rsidRPr="00786C59">
              <w:rPr>
                <w:rFonts w:ascii="Arial" w:eastAsia="Arial Regular" w:hAnsi="Arial" w:cs="Arial"/>
                <w:sz w:val="16"/>
                <w:szCs w:val="16"/>
              </w:rPr>
              <w:t>программе</w:t>
            </w:r>
            <w:r w:rsidRPr="00786C59">
              <w:rPr>
                <w:rFonts w:ascii="Arial" w:eastAsia="Arial Regular" w:hAnsi="Arial" w:cs="Arial"/>
                <w:sz w:val="16"/>
                <w:szCs w:val="16"/>
              </w:rPr>
              <w:t xml:space="preserve"> </w:t>
            </w:r>
            <w:r w:rsidRPr="00786C59">
              <w:rPr>
                <w:rFonts w:ascii="Arial" w:eastAsia="Arial Bold" w:hAnsi="Arial" w:cs="Arial"/>
                <w:b/>
                <w:bCs/>
                <w:sz w:val="16"/>
                <w:szCs w:val="16"/>
              </w:rPr>
              <w:t xml:space="preserve">по Картам с лимитом овердрафт </w:t>
            </w:r>
            <w:r w:rsidRPr="00786C59">
              <w:rPr>
                <w:rFonts w:ascii="Arial" w:eastAsia="Arial Regular" w:hAnsi="Arial" w:cs="Arial"/>
                <w:b/>
                <w:sz w:val="16"/>
                <w:szCs w:val="16"/>
              </w:rPr>
              <w:t>«10%</w:t>
            </w:r>
            <w:r w:rsidRPr="00786C59">
              <w:rPr>
                <w:rFonts w:ascii="Arial" w:eastAsia="Arial Regular" w:hAnsi="Arial" w:cs="Arial"/>
                <w:sz w:val="16"/>
                <w:szCs w:val="16"/>
              </w:rPr>
              <w:t xml:space="preserve"> </w:t>
            </w:r>
            <w:r w:rsidRPr="00786C59">
              <w:rPr>
                <w:rFonts w:ascii="Arial" w:eastAsia="Arial Regular" w:hAnsi="Arial" w:cs="Arial"/>
                <w:b/>
                <w:sz w:val="16"/>
                <w:szCs w:val="16"/>
              </w:rPr>
              <w:t xml:space="preserve">cashback на Wildberries и Ozon» </w:t>
            </w:r>
            <w:r w:rsidR="00DD04F8" w:rsidRPr="00786C59">
              <w:rPr>
                <w:rFonts w:ascii="Arial" w:eastAsia="Arial Regular" w:hAnsi="Arial" w:cs="Arial"/>
                <w:b/>
                <w:sz w:val="16"/>
                <w:szCs w:val="16"/>
              </w:rPr>
              <w:t>АО «ОТП Банк».</w:t>
            </w:r>
          </w:p>
          <w:p w14:paraId="1EA9E49C" w14:textId="77777777" w:rsidR="00754A39" w:rsidRPr="00786C59" w:rsidRDefault="00754A39" w:rsidP="00E722B1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540FD278" w14:textId="0853C838" w:rsidR="00600981" w:rsidRPr="00786C59" w:rsidRDefault="00E722B1" w:rsidP="00A00D03">
            <w:pPr>
              <w:autoSpaceDE w:val="0"/>
              <w:autoSpaceDN w:val="0"/>
              <w:adjustRightInd w:val="0"/>
              <w:contextualSpacing/>
              <w:jc w:val="both"/>
              <w:rPr>
                <w:rFonts w:ascii="Arial" w:hAnsi="Arial" w:cs="Arial"/>
                <w:bCs/>
                <w:color w:val="000000"/>
                <w:sz w:val="16"/>
                <w:szCs w:val="16"/>
              </w:rPr>
            </w:pPr>
            <w:r w:rsidRPr="00786C59">
              <w:rPr>
                <w:rFonts w:ascii="Arial" w:hAnsi="Arial" w:cs="Arial"/>
                <w:sz w:val="16"/>
                <w:szCs w:val="16"/>
              </w:rPr>
              <w:t xml:space="preserve">Клиент Банка вправе присоединиться к Программе в случае, если Клиенту выпущена Карта в рамках </w:t>
            </w:r>
            <w:r w:rsidRPr="00786C59">
              <w:rPr>
                <w:rFonts w:ascii="Arial" w:hAnsi="Arial" w:cs="Arial"/>
                <w:b/>
                <w:sz w:val="16"/>
                <w:szCs w:val="16"/>
              </w:rPr>
              <w:t>Тарифов</w:t>
            </w:r>
            <w:r w:rsidRPr="00786C59">
              <w:rPr>
                <w:rFonts w:ascii="Arial" w:hAnsi="Arial" w:cs="Arial"/>
                <w:b/>
                <w:sz w:val="16"/>
                <w:szCs w:val="16"/>
                <w:vertAlign w:val="superscript"/>
              </w:rPr>
              <w:t>1</w:t>
            </w:r>
            <w:r w:rsidR="00A00D03" w:rsidRPr="008D546D">
              <w:rPr>
                <w:rFonts w:ascii="Arial" w:hAnsi="Arial" w:cs="Arial"/>
                <w:sz w:val="16"/>
                <w:szCs w:val="16"/>
              </w:rPr>
              <w:t>,</w:t>
            </w:r>
            <w:r w:rsidR="00B15DA4" w:rsidRPr="008D546D">
              <w:rPr>
                <w:rFonts w:ascii="Arial" w:hAnsi="Arial" w:cs="Arial"/>
                <w:sz w:val="16"/>
                <w:szCs w:val="16"/>
              </w:rPr>
              <w:t xml:space="preserve"> начиная с 01.06.2023. </w:t>
            </w:r>
          </w:p>
        </w:tc>
      </w:tr>
      <w:tr w:rsidR="00600981" w:rsidRPr="00042D79" w14:paraId="66F3D0B9" w14:textId="77777777" w:rsidTr="00B53B84">
        <w:trPr>
          <w:trHeight w:val="227"/>
          <w:jc w:val="center"/>
        </w:trPr>
        <w:tc>
          <w:tcPr>
            <w:tcW w:w="706" w:type="dxa"/>
          </w:tcPr>
          <w:p w14:paraId="5AB1BC69" w14:textId="0308426D" w:rsidR="00600981" w:rsidRPr="00042D79" w:rsidRDefault="00600981" w:rsidP="00DC1165">
            <w:pPr>
              <w:spacing w:before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042D79">
              <w:rPr>
                <w:rFonts w:ascii="Arial" w:hAnsi="Arial" w:cs="Arial"/>
                <w:sz w:val="16"/>
                <w:szCs w:val="16"/>
              </w:rPr>
              <w:t>1.2.</w:t>
            </w:r>
          </w:p>
        </w:tc>
        <w:tc>
          <w:tcPr>
            <w:tcW w:w="10209" w:type="dxa"/>
            <w:gridSpan w:val="2"/>
            <w:vAlign w:val="center"/>
          </w:tcPr>
          <w:p w14:paraId="77C716F3" w14:textId="55ADBE11" w:rsidR="00E722B1" w:rsidRPr="00786C59" w:rsidRDefault="00E722B1" w:rsidP="00E722B1">
            <w:pPr>
              <w:spacing w:after="200" w:line="276" w:lineRule="auto"/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6C59">
              <w:rPr>
                <w:rFonts w:ascii="Arial" w:hAnsi="Arial" w:cs="Arial"/>
                <w:sz w:val="16"/>
                <w:szCs w:val="16"/>
              </w:rPr>
              <w:t>Присоединение Клиента к Программе осуществляется путем активации Клиентом Карты.</w:t>
            </w:r>
          </w:p>
          <w:p w14:paraId="6F95F563" w14:textId="5CFE1C10" w:rsidR="00DD04F8" w:rsidRPr="00786C59" w:rsidRDefault="00600981" w:rsidP="00DD04F8">
            <w:pPr>
              <w:spacing w:before="120" w:line="276" w:lineRule="auto"/>
              <w:rPr>
                <w:rFonts w:ascii="Arial" w:eastAsia="Arial Regular" w:hAnsi="Arial" w:cs="Arial"/>
                <w:color w:val="222222"/>
                <w:sz w:val="16"/>
                <w:szCs w:val="16"/>
              </w:rPr>
            </w:pPr>
            <w:r w:rsidRPr="00786C59">
              <w:rPr>
                <w:rFonts w:ascii="Arial" w:eastAsia="Arial Regular" w:hAnsi="Arial" w:cs="Arial"/>
                <w:color w:val="222222"/>
                <w:sz w:val="16"/>
                <w:szCs w:val="16"/>
              </w:rPr>
              <w:t>Присоединение Клиента к Программе осуществляется путем получения Карты в пользование в дату подписания Клиентом заявления на заключение Договора, либо в течение 30 рабочих дней с даты подписания Клиентом заявления на заключение Договора, либо в течение 30 рабочих дней с даты перевыпуска Клиенту Карты.</w:t>
            </w:r>
            <w:r w:rsidR="000331D3" w:rsidRPr="00786C59">
              <w:rPr>
                <w:rFonts w:ascii="Arial" w:eastAsia="Arial Regular" w:hAnsi="Arial" w:cs="Arial"/>
                <w:color w:val="222222"/>
                <w:sz w:val="16"/>
                <w:szCs w:val="16"/>
              </w:rPr>
              <w:t xml:space="preserve"> </w:t>
            </w:r>
          </w:p>
        </w:tc>
      </w:tr>
      <w:tr w:rsidR="00DD04F8" w:rsidRPr="00042D79" w14:paraId="385408B8" w14:textId="77777777" w:rsidTr="00B53B84">
        <w:trPr>
          <w:trHeight w:val="227"/>
          <w:jc w:val="center"/>
        </w:trPr>
        <w:tc>
          <w:tcPr>
            <w:tcW w:w="706" w:type="dxa"/>
          </w:tcPr>
          <w:p w14:paraId="1286842F" w14:textId="711476E4" w:rsidR="00DD04F8" w:rsidRPr="00042D79" w:rsidRDefault="00DD04F8" w:rsidP="00DD04F8">
            <w:pPr>
              <w:spacing w:before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042D79">
              <w:rPr>
                <w:rFonts w:ascii="Arial" w:hAnsi="Arial" w:cs="Arial"/>
                <w:sz w:val="16"/>
                <w:szCs w:val="16"/>
              </w:rPr>
              <w:t>1.3.</w:t>
            </w:r>
          </w:p>
        </w:tc>
        <w:tc>
          <w:tcPr>
            <w:tcW w:w="10209" w:type="dxa"/>
            <w:gridSpan w:val="2"/>
            <w:vAlign w:val="center"/>
          </w:tcPr>
          <w:p w14:paraId="4D89BE3D" w14:textId="164AA5DB" w:rsidR="00DD04F8" w:rsidRPr="00786C59" w:rsidRDefault="00DD04F8" w:rsidP="00DD04F8">
            <w:pPr>
              <w:contextualSpacing/>
              <w:jc w:val="both"/>
              <w:rPr>
                <w:rFonts w:ascii="Arial" w:hAnsi="Arial" w:cs="Arial"/>
                <w:color w:val="000000"/>
                <w:sz w:val="16"/>
                <w:szCs w:val="16"/>
              </w:rPr>
            </w:pPr>
            <w:r w:rsidRPr="00786C59">
              <w:rPr>
                <w:rFonts w:ascii="Arial" w:eastAsia="Arial Regular" w:hAnsi="Arial" w:cs="Arial"/>
                <w:sz w:val="16"/>
                <w:szCs w:val="16"/>
              </w:rPr>
              <w:t>Программа позволяет Участникам получать Бонусные рубли при приобретении товаров, работ, услуг в определенных Торгово-сервисных предприятиях - далее —</w:t>
            </w:r>
            <w:r w:rsidRPr="00786C59">
              <w:rPr>
                <w:rFonts w:ascii="Arial" w:eastAsia="Arial Bold" w:hAnsi="Arial" w:cs="Arial"/>
                <w:b/>
                <w:bCs/>
                <w:sz w:val="16"/>
                <w:szCs w:val="16"/>
              </w:rPr>
              <w:t xml:space="preserve"> </w:t>
            </w:r>
            <w:r w:rsidRPr="00786C59">
              <w:rPr>
                <w:rFonts w:ascii="Arial" w:eastAsia="Arial Regular" w:hAnsi="Arial" w:cs="Arial"/>
                <w:sz w:val="16"/>
                <w:szCs w:val="16"/>
              </w:rPr>
              <w:t xml:space="preserve">ТСП маркетплейсов </w:t>
            </w:r>
            <w:r w:rsidRPr="00786C59">
              <w:rPr>
                <w:rFonts w:ascii="Arial" w:eastAsia="Arial Regular" w:hAnsi="Arial" w:cs="Arial"/>
                <w:b/>
                <w:sz w:val="16"/>
                <w:szCs w:val="16"/>
              </w:rPr>
              <w:t>«Wildberries» и «Ozon»</w:t>
            </w:r>
            <w:r w:rsidRPr="00786C59">
              <w:rPr>
                <w:rFonts w:ascii="Arial" w:eastAsia="Arial Regular" w:hAnsi="Arial" w:cs="Arial"/>
                <w:sz w:val="16"/>
                <w:szCs w:val="16"/>
              </w:rPr>
              <w:t xml:space="preserve"> с использованием Карт.</w:t>
            </w:r>
          </w:p>
        </w:tc>
      </w:tr>
      <w:tr w:rsidR="00DD04F8" w:rsidRPr="00042D79" w14:paraId="7C5D39AD" w14:textId="77777777" w:rsidTr="00B53B84">
        <w:trPr>
          <w:trHeight w:val="227"/>
          <w:jc w:val="center"/>
        </w:trPr>
        <w:tc>
          <w:tcPr>
            <w:tcW w:w="706" w:type="dxa"/>
          </w:tcPr>
          <w:p w14:paraId="1DFD62C5" w14:textId="1DB49353" w:rsidR="00DD04F8" w:rsidRPr="00042D79" w:rsidRDefault="00DD04F8" w:rsidP="00DD04F8">
            <w:pPr>
              <w:spacing w:before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042D79">
              <w:rPr>
                <w:rFonts w:ascii="Arial" w:hAnsi="Arial" w:cs="Arial"/>
                <w:sz w:val="16"/>
                <w:szCs w:val="16"/>
              </w:rPr>
              <w:t>1.4.</w:t>
            </w:r>
          </w:p>
        </w:tc>
        <w:tc>
          <w:tcPr>
            <w:tcW w:w="10209" w:type="dxa"/>
            <w:gridSpan w:val="2"/>
            <w:vAlign w:val="center"/>
          </w:tcPr>
          <w:p w14:paraId="1CC2E879" w14:textId="58DA27C5" w:rsidR="00DD04F8" w:rsidRPr="00786C59" w:rsidRDefault="00DD04F8" w:rsidP="00DD04F8">
            <w:pPr>
              <w:spacing w:before="120" w:line="276" w:lineRule="auto"/>
              <w:rPr>
                <w:rFonts w:ascii="Arial" w:eastAsia="Arial Regular" w:hAnsi="Arial" w:cs="Arial"/>
                <w:color w:val="FF0000"/>
                <w:sz w:val="16"/>
                <w:szCs w:val="16"/>
              </w:rPr>
            </w:pPr>
            <w:r w:rsidRPr="00786C59">
              <w:rPr>
                <w:rFonts w:ascii="Arial" w:eastAsia="Arial Regular" w:hAnsi="Arial" w:cs="Arial"/>
                <w:sz w:val="16"/>
                <w:szCs w:val="16"/>
              </w:rPr>
              <w:t>Программа не является лотереей.</w:t>
            </w:r>
          </w:p>
        </w:tc>
      </w:tr>
      <w:tr w:rsidR="00DD04F8" w:rsidRPr="00042D79" w14:paraId="318D7D37" w14:textId="77777777" w:rsidTr="00B53B84">
        <w:trPr>
          <w:trHeight w:val="227"/>
          <w:jc w:val="center"/>
        </w:trPr>
        <w:tc>
          <w:tcPr>
            <w:tcW w:w="706" w:type="dxa"/>
          </w:tcPr>
          <w:p w14:paraId="2088071E" w14:textId="72273B8A" w:rsidR="00DD04F8" w:rsidRPr="00042D79" w:rsidRDefault="00DD04F8" w:rsidP="00DD04F8">
            <w:pPr>
              <w:spacing w:before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042D79">
              <w:rPr>
                <w:rFonts w:ascii="Arial" w:hAnsi="Arial" w:cs="Arial"/>
                <w:sz w:val="16"/>
                <w:szCs w:val="16"/>
              </w:rPr>
              <w:t>1.5.</w:t>
            </w:r>
          </w:p>
        </w:tc>
        <w:tc>
          <w:tcPr>
            <w:tcW w:w="10209" w:type="dxa"/>
            <w:gridSpan w:val="2"/>
            <w:vAlign w:val="center"/>
          </w:tcPr>
          <w:p w14:paraId="394A6583" w14:textId="77777777" w:rsidR="00A00D03" w:rsidRDefault="00DD04F8" w:rsidP="00B15DA4">
            <w:pPr>
              <w:spacing w:before="120" w:line="276" w:lineRule="auto"/>
              <w:rPr>
                <w:rFonts w:ascii="Arial" w:eastAsia="Arial Regular" w:hAnsi="Arial" w:cs="Arial"/>
                <w:color w:val="222222"/>
                <w:sz w:val="16"/>
                <w:szCs w:val="16"/>
              </w:rPr>
            </w:pPr>
            <w:r w:rsidRPr="00786C59">
              <w:rPr>
                <w:rFonts w:ascii="Arial" w:eastAsia="Arial Regular" w:hAnsi="Arial" w:cs="Arial"/>
                <w:color w:val="222222"/>
                <w:sz w:val="16"/>
                <w:szCs w:val="16"/>
              </w:rPr>
              <w:t>Срок действия Программы</w:t>
            </w:r>
            <w:r w:rsidR="00A00D03">
              <w:rPr>
                <w:rFonts w:ascii="Arial" w:eastAsia="Arial Regular" w:hAnsi="Arial" w:cs="Arial"/>
                <w:color w:val="222222"/>
                <w:sz w:val="16"/>
                <w:szCs w:val="16"/>
              </w:rPr>
              <w:t>:</w:t>
            </w:r>
          </w:p>
          <w:p w14:paraId="7289E479" w14:textId="6B8B7C03" w:rsidR="00A00D03" w:rsidRDefault="00A00D03" w:rsidP="00B15DA4">
            <w:pPr>
              <w:spacing w:before="120" w:line="276" w:lineRule="auto"/>
              <w:rPr>
                <w:rFonts w:ascii="Arial" w:eastAsia="Arial Regular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 Regular" w:hAnsi="Arial" w:cs="Arial"/>
                <w:color w:val="222222"/>
                <w:sz w:val="16"/>
                <w:szCs w:val="16"/>
              </w:rPr>
              <w:t>- для клиентов, присоединившихся к Программе</w:t>
            </w:r>
            <w:r w:rsidR="005601C7">
              <w:rPr>
                <w:rFonts w:ascii="Arial" w:eastAsia="Arial Regular" w:hAnsi="Arial" w:cs="Arial"/>
                <w:color w:val="222222"/>
                <w:sz w:val="16"/>
                <w:szCs w:val="16"/>
              </w:rPr>
              <w:t xml:space="preserve"> </w:t>
            </w:r>
            <w:r>
              <w:rPr>
                <w:rFonts w:ascii="Arial" w:eastAsia="Arial Regular" w:hAnsi="Arial" w:cs="Arial"/>
                <w:color w:val="222222"/>
                <w:sz w:val="16"/>
                <w:szCs w:val="16"/>
              </w:rPr>
              <w:t>- в течение срока действия Карты в рамках Тарифа, в том числе перевыпущенной;</w:t>
            </w:r>
          </w:p>
          <w:p w14:paraId="1D85D01C" w14:textId="2DC34EE8" w:rsidR="00DD04F8" w:rsidRPr="00786C59" w:rsidRDefault="00A00D03" w:rsidP="008D546D">
            <w:pPr>
              <w:spacing w:before="120" w:line="276" w:lineRule="auto"/>
              <w:rPr>
                <w:rFonts w:ascii="Arial" w:eastAsia="Arial Regular" w:hAnsi="Arial" w:cs="Arial"/>
                <w:color w:val="222222"/>
                <w:sz w:val="16"/>
                <w:szCs w:val="16"/>
              </w:rPr>
            </w:pPr>
            <w:r>
              <w:rPr>
                <w:rFonts w:ascii="Arial" w:eastAsia="Arial Regular" w:hAnsi="Arial" w:cs="Arial"/>
                <w:color w:val="222222"/>
                <w:sz w:val="16"/>
                <w:szCs w:val="16"/>
              </w:rPr>
              <w:t xml:space="preserve">- для новых клиентов: в течении </w:t>
            </w:r>
            <w:r w:rsidR="008D4C3B" w:rsidRPr="008D546D">
              <w:rPr>
                <w:rFonts w:ascii="Arial" w:eastAsia="Arial Regular" w:hAnsi="Arial" w:cs="Arial"/>
                <w:sz w:val="16"/>
                <w:szCs w:val="16"/>
              </w:rPr>
              <w:t>30 дней</w:t>
            </w:r>
            <w:r w:rsidRPr="008D546D">
              <w:rPr>
                <w:rFonts w:ascii="Arial" w:eastAsia="Arial Regular" w:hAnsi="Arial" w:cs="Arial"/>
                <w:sz w:val="16"/>
                <w:szCs w:val="16"/>
              </w:rPr>
              <w:t xml:space="preserve"> с даты утверждения Программы. При этом, срок равный 30 дням, может быть автоматически продлен Банком на аналогичный период неограниченное количество раз.</w:t>
            </w:r>
            <w:r w:rsidR="00DD04F8" w:rsidRPr="008D546D">
              <w:rPr>
                <w:rFonts w:ascii="Arial" w:eastAsia="Arial Regular" w:hAnsi="Arial" w:cs="Arial"/>
                <w:sz w:val="16"/>
                <w:szCs w:val="16"/>
              </w:rPr>
              <w:t xml:space="preserve"> </w:t>
            </w:r>
          </w:p>
        </w:tc>
      </w:tr>
      <w:tr w:rsidR="00DD04F8" w:rsidRPr="00042D79" w14:paraId="48544C84" w14:textId="77777777" w:rsidTr="00B53B84">
        <w:trPr>
          <w:trHeight w:val="227"/>
          <w:jc w:val="center"/>
        </w:trPr>
        <w:tc>
          <w:tcPr>
            <w:tcW w:w="706" w:type="dxa"/>
          </w:tcPr>
          <w:p w14:paraId="0FDE321D" w14:textId="12081DB1" w:rsidR="00DD04F8" w:rsidRPr="00042D79" w:rsidRDefault="00DD04F8" w:rsidP="00DD04F8">
            <w:pPr>
              <w:spacing w:before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042D79">
              <w:rPr>
                <w:rFonts w:ascii="Arial" w:hAnsi="Arial" w:cs="Arial"/>
                <w:sz w:val="16"/>
                <w:szCs w:val="16"/>
              </w:rPr>
              <w:t>1.6.</w:t>
            </w:r>
          </w:p>
        </w:tc>
        <w:tc>
          <w:tcPr>
            <w:tcW w:w="10209" w:type="dxa"/>
            <w:gridSpan w:val="2"/>
            <w:vAlign w:val="center"/>
          </w:tcPr>
          <w:p w14:paraId="5A3542E6" w14:textId="6C03181F" w:rsidR="00DD04F8" w:rsidRPr="00786C59" w:rsidRDefault="00DD04F8" w:rsidP="00DD04F8">
            <w:pPr>
              <w:spacing w:before="120" w:line="276" w:lineRule="auto"/>
              <w:rPr>
                <w:rFonts w:ascii="Arial" w:eastAsia="Arial Regular" w:hAnsi="Arial" w:cs="Arial"/>
                <w:color w:val="222222"/>
                <w:sz w:val="16"/>
                <w:szCs w:val="16"/>
              </w:rPr>
            </w:pPr>
            <w:r w:rsidRPr="00786C59">
              <w:rPr>
                <w:rFonts w:ascii="Arial" w:eastAsia="Arial Regular" w:hAnsi="Arial" w:cs="Arial"/>
                <w:color w:val="222222"/>
                <w:sz w:val="16"/>
                <w:szCs w:val="16"/>
              </w:rPr>
              <w:t>Присоединяясь к Программе, Клиент подтверждает, что он ознакомился с настоящими Правилами, принимает условия участия в Программе, согласен с ними и обязуется их соблюдать.</w:t>
            </w:r>
          </w:p>
        </w:tc>
      </w:tr>
      <w:tr w:rsidR="00DD04F8" w:rsidRPr="00042D79" w14:paraId="4A02AF4A" w14:textId="77777777" w:rsidTr="00B53B84">
        <w:trPr>
          <w:trHeight w:val="227"/>
          <w:jc w:val="center"/>
        </w:trPr>
        <w:tc>
          <w:tcPr>
            <w:tcW w:w="706" w:type="dxa"/>
          </w:tcPr>
          <w:p w14:paraId="43F6AB54" w14:textId="2D52A648" w:rsidR="00DD04F8" w:rsidRPr="00042D79" w:rsidRDefault="00DD04F8" w:rsidP="00DD04F8">
            <w:pPr>
              <w:spacing w:before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042D79">
              <w:rPr>
                <w:rFonts w:ascii="Arial" w:hAnsi="Arial" w:cs="Arial"/>
                <w:sz w:val="16"/>
                <w:szCs w:val="16"/>
              </w:rPr>
              <w:t>1.7.</w:t>
            </w:r>
          </w:p>
        </w:tc>
        <w:tc>
          <w:tcPr>
            <w:tcW w:w="10209" w:type="dxa"/>
            <w:gridSpan w:val="2"/>
            <w:vAlign w:val="center"/>
          </w:tcPr>
          <w:p w14:paraId="69179D84" w14:textId="0B8453FF" w:rsidR="00DD04F8" w:rsidRPr="00786C59" w:rsidRDefault="00DD04F8" w:rsidP="00DD04F8">
            <w:pPr>
              <w:spacing w:before="120" w:line="276" w:lineRule="auto"/>
              <w:rPr>
                <w:rFonts w:ascii="Arial" w:eastAsia="Arial Regular" w:hAnsi="Arial" w:cs="Arial"/>
                <w:color w:val="222222"/>
                <w:sz w:val="16"/>
                <w:szCs w:val="16"/>
              </w:rPr>
            </w:pPr>
            <w:r w:rsidRPr="00786C59">
              <w:rPr>
                <w:rFonts w:ascii="Arial" w:eastAsia="Arial Regular" w:hAnsi="Arial" w:cs="Arial"/>
                <w:color w:val="222222"/>
                <w:sz w:val="16"/>
                <w:szCs w:val="16"/>
              </w:rPr>
              <w:t>Настоящие Правила являются публичной офертой.</w:t>
            </w:r>
          </w:p>
        </w:tc>
      </w:tr>
      <w:tr w:rsidR="00DD04F8" w:rsidRPr="00042D79" w14:paraId="6ADF88AA" w14:textId="77777777" w:rsidTr="00B53B84">
        <w:trPr>
          <w:trHeight w:val="227"/>
          <w:jc w:val="center"/>
        </w:trPr>
        <w:tc>
          <w:tcPr>
            <w:tcW w:w="706" w:type="dxa"/>
          </w:tcPr>
          <w:p w14:paraId="647CD7F9" w14:textId="323E77AA" w:rsidR="00DD04F8" w:rsidRPr="00042D79" w:rsidRDefault="00DD04F8" w:rsidP="00DD04F8">
            <w:pPr>
              <w:spacing w:before="12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1.8.</w:t>
            </w:r>
          </w:p>
        </w:tc>
        <w:tc>
          <w:tcPr>
            <w:tcW w:w="10209" w:type="dxa"/>
            <w:gridSpan w:val="2"/>
            <w:vAlign w:val="center"/>
          </w:tcPr>
          <w:p w14:paraId="40AD7CAD" w14:textId="77777777" w:rsidR="00DD04F8" w:rsidRPr="00786C59" w:rsidRDefault="00DD04F8" w:rsidP="00DD04F8">
            <w:pPr>
              <w:tabs>
                <w:tab w:val="left" w:pos="851"/>
              </w:tabs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</w:p>
          <w:p w14:paraId="345E4E37" w14:textId="53E98559" w:rsidR="00DD04F8" w:rsidRPr="00786C59" w:rsidRDefault="00DD04F8" w:rsidP="00DD04F8">
            <w:pPr>
              <w:tabs>
                <w:tab w:val="left" w:pos="851"/>
              </w:tabs>
              <w:contextualSpacing/>
              <w:jc w:val="both"/>
              <w:rPr>
                <w:rFonts w:ascii="Arial" w:hAnsi="Arial" w:cs="Arial"/>
                <w:sz w:val="16"/>
                <w:szCs w:val="16"/>
              </w:rPr>
            </w:pPr>
            <w:r w:rsidRPr="00786C59">
              <w:rPr>
                <w:rFonts w:ascii="Arial" w:hAnsi="Arial" w:cs="Arial"/>
                <w:sz w:val="16"/>
                <w:szCs w:val="16"/>
              </w:rPr>
              <w:t>В рамках Программы Банк также вправе проводить отдельные акции с иными условиями начисления Бонусных рублей (далее – «Акция»). Условия проведения соответствующих Акций в рамках Программы являются неотъемлемой частью настоящих Правил.</w:t>
            </w:r>
          </w:p>
          <w:p w14:paraId="24765675" w14:textId="27B05FF7" w:rsidR="00DD04F8" w:rsidRPr="00786C59" w:rsidRDefault="00DD04F8" w:rsidP="00DD04F8">
            <w:pPr>
              <w:tabs>
                <w:tab w:val="left" w:pos="851"/>
              </w:tabs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  <w:tr w:rsidR="00DD04F8" w:rsidRPr="00042D79" w14:paraId="626BE563" w14:textId="77777777" w:rsidTr="00B53B84">
        <w:trPr>
          <w:trHeight w:val="227"/>
          <w:jc w:val="center"/>
        </w:trPr>
        <w:tc>
          <w:tcPr>
            <w:tcW w:w="706" w:type="dxa"/>
            <w:shd w:val="clear" w:color="auto" w:fill="F5F5F5"/>
          </w:tcPr>
          <w:p w14:paraId="1DA75F94" w14:textId="68DB8E73" w:rsidR="00DD04F8" w:rsidRPr="00042D79" w:rsidRDefault="00DD04F8" w:rsidP="00DD04F8">
            <w:pPr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 w:rsidRPr="00042D79">
              <w:rPr>
                <w:rFonts w:ascii="Arial" w:hAnsi="Arial" w:cs="Arial"/>
                <w:b/>
                <w:bCs/>
              </w:rPr>
              <w:t>2.</w:t>
            </w:r>
          </w:p>
        </w:tc>
        <w:tc>
          <w:tcPr>
            <w:tcW w:w="10209" w:type="dxa"/>
            <w:gridSpan w:val="2"/>
            <w:shd w:val="clear" w:color="auto" w:fill="F5F5F5"/>
          </w:tcPr>
          <w:p w14:paraId="390A7D0B" w14:textId="33E1DC4E" w:rsidR="00DD04F8" w:rsidRPr="00042D79" w:rsidRDefault="00DD04F8" w:rsidP="00DD04F8">
            <w:pPr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 w:rsidRPr="00042D79">
              <w:rPr>
                <w:rFonts w:ascii="Arial" w:hAnsi="Arial" w:cs="Arial"/>
                <w:b/>
                <w:bCs/>
              </w:rPr>
              <w:t>Начисление Бонусных рублей</w:t>
            </w:r>
          </w:p>
        </w:tc>
      </w:tr>
      <w:tr w:rsidR="00DD04F8" w:rsidRPr="00042D79" w14:paraId="33729639" w14:textId="77777777" w:rsidTr="00B53B84">
        <w:trPr>
          <w:trHeight w:val="227"/>
          <w:jc w:val="center"/>
        </w:trPr>
        <w:tc>
          <w:tcPr>
            <w:tcW w:w="706" w:type="dxa"/>
          </w:tcPr>
          <w:p w14:paraId="7613C851" w14:textId="535CBC01" w:rsidR="00DD04F8" w:rsidRPr="00042D79" w:rsidRDefault="00DD04F8" w:rsidP="00DD04F8">
            <w:pPr>
              <w:spacing w:before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042D79">
              <w:rPr>
                <w:rFonts w:ascii="Arial" w:hAnsi="Arial" w:cs="Arial"/>
                <w:sz w:val="16"/>
                <w:szCs w:val="16"/>
              </w:rPr>
              <w:t>2.1.</w:t>
            </w:r>
          </w:p>
        </w:tc>
        <w:tc>
          <w:tcPr>
            <w:tcW w:w="10209" w:type="dxa"/>
            <w:gridSpan w:val="2"/>
            <w:vAlign w:val="center"/>
          </w:tcPr>
          <w:p w14:paraId="5E454765" w14:textId="77777777" w:rsidR="00DD04F8" w:rsidRDefault="00DD04F8" w:rsidP="00DD04F8">
            <w:pPr>
              <w:contextualSpacing/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  <w:p w14:paraId="3BA641F4" w14:textId="662F7AB7" w:rsidR="00DD04F8" w:rsidRDefault="00DD04F8" w:rsidP="00DD04F8">
            <w:pPr>
              <w:contextualSpacing/>
              <w:jc w:val="both"/>
              <w:rPr>
                <w:rFonts w:ascii="Arial" w:eastAsia="Arial Regular" w:hAnsi="Arial" w:cs="Arial"/>
                <w:sz w:val="16"/>
                <w:szCs w:val="16"/>
              </w:rPr>
            </w:pPr>
            <w:r w:rsidRPr="00145299">
              <w:rPr>
                <w:rFonts w:ascii="Arial" w:eastAsia="Arial Regular" w:hAnsi="Arial" w:cs="Arial"/>
                <w:sz w:val="16"/>
                <w:szCs w:val="16"/>
              </w:rPr>
              <w:t>Начисление Бонусных рублей производится Банком при совершении Участником Бонусной Операции в рублях РФ с использованием Карты в ТСП</w:t>
            </w:r>
            <w:r w:rsidRPr="00145299">
              <w:t xml:space="preserve"> </w:t>
            </w:r>
            <w:r w:rsidRPr="00145299">
              <w:rPr>
                <w:rFonts w:ascii="Arial" w:eastAsia="Arial Regular" w:hAnsi="Arial" w:cs="Arial"/>
                <w:sz w:val="16"/>
                <w:szCs w:val="16"/>
              </w:rPr>
              <w:t>маркетплейсов «Wildberries» и «Ozon».</w:t>
            </w:r>
          </w:p>
          <w:p w14:paraId="6FF8B632" w14:textId="3F426CE1" w:rsidR="00DD04F8" w:rsidRPr="00AB459F" w:rsidRDefault="00DD04F8" w:rsidP="00DD04F8">
            <w:pPr>
              <w:contextualSpacing/>
              <w:jc w:val="both"/>
              <w:rPr>
                <w:rFonts w:ascii="Arial" w:eastAsia="Times New Roman" w:hAnsi="Arial" w:cs="Arial"/>
                <w:b/>
                <w:sz w:val="16"/>
                <w:szCs w:val="16"/>
                <w:lang w:eastAsia="ru-RU"/>
              </w:rPr>
            </w:pPr>
          </w:p>
        </w:tc>
      </w:tr>
      <w:tr w:rsidR="00DD04F8" w:rsidRPr="00042D79" w14:paraId="6C9D8864" w14:textId="77777777" w:rsidTr="00B53B84">
        <w:trPr>
          <w:trHeight w:val="227"/>
          <w:jc w:val="center"/>
        </w:trPr>
        <w:tc>
          <w:tcPr>
            <w:tcW w:w="706" w:type="dxa"/>
          </w:tcPr>
          <w:p w14:paraId="3C520E78" w14:textId="7286450F" w:rsidR="00DD04F8" w:rsidRPr="00042D79" w:rsidRDefault="00DD04F8" w:rsidP="00DD04F8">
            <w:pPr>
              <w:spacing w:before="12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2.2.</w:t>
            </w:r>
          </w:p>
        </w:tc>
        <w:tc>
          <w:tcPr>
            <w:tcW w:w="10209" w:type="dxa"/>
            <w:gridSpan w:val="2"/>
            <w:vAlign w:val="center"/>
          </w:tcPr>
          <w:p w14:paraId="3301F194" w14:textId="007F96C5" w:rsidR="00DD04F8" w:rsidRPr="00AB459F" w:rsidRDefault="00E36178" w:rsidP="00DD04F8">
            <w:pPr>
              <w:spacing w:before="120" w:line="276" w:lineRule="auto"/>
              <w:rPr>
                <w:rFonts w:ascii="Arial" w:eastAsia="Arial Regular" w:hAnsi="Arial" w:cs="Arial"/>
                <w:color w:val="222222"/>
                <w:sz w:val="16"/>
                <w:szCs w:val="16"/>
              </w:rPr>
            </w:pPr>
            <w:r w:rsidRPr="00E36178">
              <w:rPr>
                <w:rFonts w:ascii="Arial" w:eastAsia="Arial Regular" w:hAnsi="Arial" w:cs="Arial"/>
                <w:b/>
                <w:sz w:val="16"/>
                <w:szCs w:val="16"/>
              </w:rPr>
              <w:t xml:space="preserve">Размер </w:t>
            </w:r>
            <w:r w:rsidRPr="00145299">
              <w:rPr>
                <w:rFonts w:ascii="Arial" w:eastAsia="Arial Regular" w:hAnsi="Arial" w:cs="Arial"/>
                <w:sz w:val="16"/>
                <w:szCs w:val="16"/>
              </w:rPr>
              <w:t xml:space="preserve">Бонусных рублей за совершение Бонусной операции </w:t>
            </w:r>
            <w:r w:rsidRPr="00E36178">
              <w:rPr>
                <w:rFonts w:ascii="Arial" w:eastAsia="Arial Regular" w:hAnsi="Arial" w:cs="Arial"/>
                <w:b/>
                <w:sz w:val="16"/>
                <w:szCs w:val="16"/>
              </w:rPr>
              <w:t>составляет 10%</w:t>
            </w:r>
            <w:r w:rsidRPr="00145299">
              <w:rPr>
                <w:rFonts w:ascii="Arial" w:eastAsia="Arial Regular" w:hAnsi="Arial" w:cs="Arial"/>
                <w:sz w:val="16"/>
                <w:szCs w:val="16"/>
              </w:rPr>
              <w:t xml:space="preserve"> от суммы по операциям покупок в ТСП маркетплейсов «Wildberries» и «Ozon» за календарный месяц.</w:t>
            </w:r>
          </w:p>
        </w:tc>
      </w:tr>
      <w:tr w:rsidR="00E36178" w:rsidRPr="00042D79" w14:paraId="6D78E08A" w14:textId="77777777" w:rsidTr="00B53B84">
        <w:trPr>
          <w:trHeight w:val="227"/>
          <w:jc w:val="center"/>
        </w:trPr>
        <w:tc>
          <w:tcPr>
            <w:tcW w:w="706" w:type="dxa"/>
          </w:tcPr>
          <w:p w14:paraId="3F8F3877" w14:textId="514AF6A8" w:rsidR="00E36178" w:rsidRPr="00042D79" w:rsidRDefault="00E36178" w:rsidP="00E36178">
            <w:pPr>
              <w:spacing w:before="12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2.3.</w:t>
            </w:r>
          </w:p>
        </w:tc>
        <w:tc>
          <w:tcPr>
            <w:tcW w:w="10209" w:type="dxa"/>
            <w:gridSpan w:val="2"/>
            <w:vAlign w:val="center"/>
          </w:tcPr>
          <w:p w14:paraId="7475FD07" w14:textId="574BB2AD" w:rsidR="00E36178" w:rsidRPr="00AB459F" w:rsidRDefault="00E36178" w:rsidP="00E36178">
            <w:pPr>
              <w:spacing w:before="120" w:line="276" w:lineRule="auto"/>
              <w:rPr>
                <w:rFonts w:ascii="Arial" w:eastAsia="Arial Regular" w:hAnsi="Arial" w:cs="Arial"/>
                <w:color w:val="222222"/>
                <w:sz w:val="16"/>
                <w:szCs w:val="16"/>
              </w:rPr>
            </w:pPr>
            <w:r w:rsidRPr="00145299">
              <w:rPr>
                <w:rFonts w:ascii="Arial" w:eastAsia="Arial Regular" w:hAnsi="Arial" w:cs="Arial"/>
                <w:sz w:val="16"/>
                <w:szCs w:val="16"/>
              </w:rPr>
              <w:t>При совершении Бонусной Операции сумма начисляемых Бонусных рублей зачисляется на Бонусный счёт Клиента.</w:t>
            </w:r>
          </w:p>
        </w:tc>
      </w:tr>
      <w:tr w:rsidR="00E36178" w:rsidRPr="00042D79" w14:paraId="6647440C" w14:textId="77777777" w:rsidTr="00B53B84">
        <w:trPr>
          <w:trHeight w:val="227"/>
          <w:jc w:val="center"/>
        </w:trPr>
        <w:tc>
          <w:tcPr>
            <w:tcW w:w="706" w:type="dxa"/>
          </w:tcPr>
          <w:p w14:paraId="33E162D7" w14:textId="77777777" w:rsidR="00E36178" w:rsidRPr="00042D79" w:rsidRDefault="00E36178" w:rsidP="00E36178">
            <w:pPr>
              <w:spacing w:before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042D79"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>4</w:t>
            </w:r>
            <w:r w:rsidRPr="00042D7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209" w:type="dxa"/>
            <w:gridSpan w:val="2"/>
            <w:vAlign w:val="center"/>
          </w:tcPr>
          <w:p w14:paraId="66CF04FE" w14:textId="77777777" w:rsidR="00E36178" w:rsidRDefault="00E36178" w:rsidP="00E36178">
            <w:pPr>
              <w:jc w:val="both"/>
              <w:rPr>
                <w:rFonts w:ascii="Arial" w:eastAsia="Arial Regular" w:hAnsi="Arial" w:cs="Arial"/>
                <w:sz w:val="16"/>
                <w:szCs w:val="16"/>
              </w:rPr>
            </w:pPr>
          </w:p>
          <w:p w14:paraId="284DE567" w14:textId="7E0E5F7F" w:rsidR="00E36178" w:rsidRDefault="00E36178" w:rsidP="00E36178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5299">
              <w:rPr>
                <w:rFonts w:ascii="Arial" w:eastAsia="Arial Regular" w:hAnsi="Arial" w:cs="Arial"/>
                <w:sz w:val="16"/>
                <w:szCs w:val="16"/>
              </w:rPr>
              <w:t xml:space="preserve">Для карт, выпущенных в рамках Тарифа максимальный размер начисляемых Бонусных рублей по Карте за один календарный месяц </w:t>
            </w:r>
            <w:r w:rsidRPr="00E36178">
              <w:rPr>
                <w:rFonts w:ascii="Arial" w:eastAsia="Arial Regular" w:hAnsi="Arial" w:cs="Arial"/>
                <w:b/>
                <w:sz w:val="16"/>
                <w:szCs w:val="16"/>
              </w:rPr>
              <w:t>составляет 3 000</w:t>
            </w:r>
            <w:r w:rsidRPr="00145299">
              <w:rPr>
                <w:rFonts w:ascii="Arial" w:eastAsia="Arial Regular" w:hAnsi="Arial" w:cs="Arial"/>
                <w:sz w:val="16"/>
                <w:szCs w:val="16"/>
              </w:rPr>
              <w:t xml:space="preserve"> Бонусных рублей.</w:t>
            </w:r>
            <w:r w:rsidRPr="00AB459F">
              <w:rPr>
                <w:rFonts w:ascii="Arial" w:eastAsia="Times New Roman" w:hAnsi="Arial" w:cs="Arial"/>
                <w:sz w:val="16"/>
                <w:szCs w:val="16"/>
                <w:lang w:eastAsia="ru-RU"/>
              </w:rPr>
              <w:t xml:space="preserve"> </w:t>
            </w:r>
          </w:p>
          <w:p w14:paraId="08728439" w14:textId="631F6996" w:rsidR="00E36178" w:rsidRDefault="00E36178" w:rsidP="00E36178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  <w:r w:rsidRPr="00145299">
              <w:rPr>
                <w:rFonts w:ascii="Arial" w:eastAsia="Arial Regular" w:hAnsi="Arial" w:cs="Arial"/>
                <w:sz w:val="16"/>
                <w:szCs w:val="16"/>
              </w:rPr>
              <w:t>При достижении максимального размера начисленных Бонусных рублей в текущем календарном месяце, начисление Бонусных рублей на все следующие операции в текущем календарном месяце не производится и на следующий месяц не переносится вне зависимости от общей суммы Бонусных Операций.</w:t>
            </w:r>
          </w:p>
          <w:p w14:paraId="68999072" w14:textId="1ECC8D1A" w:rsidR="00E36178" w:rsidRPr="00AB459F" w:rsidRDefault="00E36178" w:rsidP="00E36178">
            <w:pPr>
              <w:jc w:val="both"/>
              <w:rPr>
                <w:rFonts w:ascii="Arial" w:eastAsia="Times New Roman" w:hAnsi="Arial" w:cs="Arial"/>
                <w:sz w:val="16"/>
                <w:szCs w:val="16"/>
                <w:lang w:eastAsia="ru-RU"/>
              </w:rPr>
            </w:pPr>
          </w:p>
        </w:tc>
      </w:tr>
      <w:tr w:rsidR="00E36178" w:rsidRPr="00042D79" w14:paraId="0E157E13" w14:textId="77777777" w:rsidTr="00B53B84">
        <w:trPr>
          <w:trHeight w:val="227"/>
          <w:jc w:val="center"/>
        </w:trPr>
        <w:tc>
          <w:tcPr>
            <w:tcW w:w="706" w:type="dxa"/>
          </w:tcPr>
          <w:p w14:paraId="0C7420EE" w14:textId="18C5E5EA" w:rsidR="00E36178" w:rsidRPr="00042D79" w:rsidRDefault="00E36178" w:rsidP="00E36178">
            <w:pPr>
              <w:spacing w:before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042D79"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>5</w:t>
            </w:r>
            <w:r w:rsidRPr="00042D7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209" w:type="dxa"/>
            <w:gridSpan w:val="2"/>
            <w:vAlign w:val="center"/>
          </w:tcPr>
          <w:p w14:paraId="17EB27CD" w14:textId="77777777" w:rsidR="00E36178" w:rsidRDefault="00E36178" w:rsidP="00E36178">
            <w:pPr>
              <w:spacing w:before="120" w:line="276" w:lineRule="auto"/>
              <w:rPr>
                <w:rFonts w:ascii="Arial" w:eastAsia="Arial Regular" w:hAnsi="Arial" w:cs="Arial"/>
                <w:color w:val="222222"/>
                <w:sz w:val="16"/>
                <w:szCs w:val="16"/>
              </w:rPr>
            </w:pPr>
            <w:r w:rsidRPr="00042D79">
              <w:rPr>
                <w:rFonts w:ascii="Arial" w:eastAsia="Arial Regular" w:hAnsi="Arial" w:cs="Arial"/>
                <w:color w:val="222222"/>
                <w:sz w:val="16"/>
                <w:szCs w:val="16"/>
              </w:rPr>
              <w:t xml:space="preserve">Учет остатка Бонусных рублей, образовавшегося в результате начисления Банком Бонусных рублей и конвертации Клиентом Бонусных рублей в денежные средства в соответствии с Правилами, ведется Банком на Бонусном счете, </w:t>
            </w:r>
            <w:r w:rsidRPr="003217F9">
              <w:rPr>
                <w:rFonts w:ascii="Arial" w:eastAsia="Arial Regular" w:hAnsi="Arial" w:cs="Arial"/>
                <w:sz w:val="16"/>
                <w:szCs w:val="16"/>
              </w:rPr>
              <w:t>к которому предоставлен доступ Клиенту в личном кабинете дистанционного банковского обслуживания, далее — ДБО</w:t>
            </w:r>
            <w:r>
              <w:rPr>
                <w:rFonts w:ascii="Arial" w:eastAsia="Arial Regular" w:hAnsi="Arial" w:cs="Arial"/>
                <w:color w:val="FF0000"/>
                <w:sz w:val="16"/>
                <w:szCs w:val="16"/>
              </w:rPr>
              <w:t xml:space="preserve">. </w:t>
            </w:r>
            <w:r>
              <w:rPr>
                <w:rFonts w:ascii="Arial" w:eastAsia="Arial Regular" w:hAnsi="Arial" w:cs="Arial"/>
                <w:color w:val="222222"/>
                <w:sz w:val="16"/>
                <w:szCs w:val="16"/>
              </w:rPr>
              <w:t xml:space="preserve">                   Бонусные рубли, начисляемые за покупки в текущем календарном месяце, становятся доступными для конвертации на 10-й рабочий день следующего календарного месяца. </w:t>
            </w:r>
          </w:p>
          <w:p w14:paraId="5E200966" w14:textId="2D4A56A8" w:rsidR="00E36178" w:rsidRPr="00042D79" w:rsidRDefault="00E36178" w:rsidP="00E36178">
            <w:pPr>
              <w:spacing w:before="120" w:line="276" w:lineRule="auto"/>
              <w:rPr>
                <w:rFonts w:ascii="Arial" w:eastAsia="Arial Regular" w:hAnsi="Arial" w:cs="Arial"/>
                <w:color w:val="222222"/>
                <w:sz w:val="16"/>
                <w:szCs w:val="16"/>
              </w:rPr>
            </w:pPr>
          </w:p>
        </w:tc>
      </w:tr>
      <w:tr w:rsidR="00E36178" w:rsidRPr="00042D79" w14:paraId="40325A74" w14:textId="77777777" w:rsidTr="00B53B84">
        <w:trPr>
          <w:trHeight w:val="227"/>
          <w:jc w:val="center"/>
        </w:trPr>
        <w:tc>
          <w:tcPr>
            <w:tcW w:w="706" w:type="dxa"/>
          </w:tcPr>
          <w:p w14:paraId="1529784A" w14:textId="10256499" w:rsidR="00E36178" w:rsidRPr="00042D79" w:rsidRDefault="00E36178" w:rsidP="00E36178">
            <w:pPr>
              <w:spacing w:before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042D79">
              <w:rPr>
                <w:rFonts w:ascii="Arial" w:hAnsi="Arial" w:cs="Arial"/>
                <w:sz w:val="16"/>
                <w:szCs w:val="16"/>
              </w:rPr>
              <w:t>2.</w:t>
            </w:r>
            <w:r>
              <w:rPr>
                <w:rFonts w:ascii="Arial" w:hAnsi="Arial" w:cs="Arial"/>
                <w:sz w:val="16"/>
                <w:szCs w:val="16"/>
              </w:rPr>
              <w:t>6</w:t>
            </w:r>
            <w:r w:rsidRPr="00042D79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209" w:type="dxa"/>
            <w:gridSpan w:val="2"/>
            <w:vAlign w:val="center"/>
          </w:tcPr>
          <w:p w14:paraId="21157DC9" w14:textId="77777777" w:rsidR="00E36178" w:rsidRDefault="00E36178" w:rsidP="00E36178">
            <w:pPr>
              <w:pStyle w:val="a4"/>
              <w:jc w:val="both"/>
              <w:rPr>
                <w:rFonts w:ascii="Arial" w:eastAsia="Arial Regular" w:hAnsi="Arial" w:cs="Arial"/>
                <w:sz w:val="16"/>
                <w:szCs w:val="16"/>
              </w:rPr>
            </w:pPr>
          </w:p>
          <w:p w14:paraId="4E8DBF3B" w14:textId="04FAB59A" w:rsidR="00E36178" w:rsidRDefault="00E36178" w:rsidP="00E36178">
            <w:pPr>
              <w:pStyle w:val="a4"/>
              <w:jc w:val="both"/>
              <w:rPr>
                <w:rFonts w:ascii="Arial" w:eastAsia="Arial Regular" w:hAnsi="Arial" w:cs="Arial"/>
                <w:sz w:val="16"/>
                <w:szCs w:val="16"/>
              </w:rPr>
            </w:pPr>
            <w:r w:rsidRPr="00145299">
              <w:rPr>
                <w:rFonts w:ascii="Arial" w:eastAsia="Arial Regular" w:hAnsi="Arial" w:cs="Arial"/>
                <w:sz w:val="16"/>
                <w:szCs w:val="16"/>
              </w:rPr>
              <w:t>Сумма Бонусных рублей рассчитывается и начисляется после даты обработки Банком расчетных документов, подтверждающих совершение Бонусных Операций по Карте в ТСП.</w:t>
            </w:r>
          </w:p>
          <w:p w14:paraId="72F871CA" w14:textId="015254D9" w:rsidR="00E36178" w:rsidRPr="004C3674" w:rsidRDefault="00E36178" w:rsidP="00E36178">
            <w:pPr>
              <w:pStyle w:val="a4"/>
              <w:jc w:val="both"/>
              <w:rPr>
                <w:rFonts w:eastAsia="Arial Regular"/>
              </w:rPr>
            </w:pPr>
            <w:r w:rsidRPr="004D181D">
              <w:rPr>
                <w:rFonts w:eastAsia="Arial Regular"/>
              </w:rPr>
              <w:t xml:space="preserve"> </w:t>
            </w:r>
          </w:p>
        </w:tc>
      </w:tr>
      <w:tr w:rsidR="00E36178" w:rsidRPr="00042D79" w14:paraId="0F349D8C" w14:textId="77777777" w:rsidTr="00B53B84">
        <w:trPr>
          <w:trHeight w:val="227"/>
          <w:jc w:val="center"/>
        </w:trPr>
        <w:tc>
          <w:tcPr>
            <w:tcW w:w="706" w:type="dxa"/>
          </w:tcPr>
          <w:p w14:paraId="5ECE0AFE" w14:textId="708CAF51" w:rsidR="00E36178" w:rsidRPr="00042D79" w:rsidRDefault="00E36178" w:rsidP="00E36178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2.7.</w:t>
            </w:r>
          </w:p>
        </w:tc>
        <w:tc>
          <w:tcPr>
            <w:tcW w:w="10209" w:type="dxa"/>
            <w:gridSpan w:val="2"/>
            <w:vAlign w:val="center"/>
          </w:tcPr>
          <w:p w14:paraId="21889123" w14:textId="2C282E90" w:rsidR="00E36178" w:rsidRPr="00042D79" w:rsidRDefault="00E36178" w:rsidP="00E36178">
            <w:pPr>
              <w:spacing w:before="120" w:after="120" w:line="276" w:lineRule="auto"/>
              <w:rPr>
                <w:rFonts w:ascii="Arial" w:eastAsia="Arial Regular" w:hAnsi="Arial" w:cs="Arial"/>
                <w:color w:val="222222"/>
                <w:sz w:val="16"/>
                <w:szCs w:val="16"/>
              </w:rPr>
            </w:pPr>
            <w:r w:rsidRPr="00145299">
              <w:rPr>
                <w:rFonts w:ascii="Arial" w:hAnsi="Arial" w:cs="Arial"/>
                <w:sz w:val="16"/>
                <w:szCs w:val="16"/>
              </w:rPr>
              <w:t xml:space="preserve">Банк вправе отказать Участнику в начислении </w:t>
            </w:r>
            <w:r w:rsidRPr="00145299">
              <w:rPr>
                <w:rFonts w:ascii="Arial" w:eastAsia="Times New Roman" w:hAnsi="Arial" w:cs="Arial"/>
                <w:sz w:val="16"/>
                <w:szCs w:val="16"/>
              </w:rPr>
              <w:t xml:space="preserve">Бонусных рублей, </w:t>
            </w:r>
            <w:r w:rsidRPr="00145299">
              <w:rPr>
                <w:rFonts w:ascii="Arial" w:hAnsi="Arial" w:cs="Arial"/>
                <w:sz w:val="16"/>
                <w:szCs w:val="16"/>
              </w:rPr>
              <w:t>в случаях выявления Банком признаков злоупотребления Участником правом при получении Бонусных рублей в соответствии с Программой, в том числе:</w:t>
            </w:r>
          </w:p>
        </w:tc>
      </w:tr>
      <w:tr w:rsidR="00E36178" w:rsidRPr="00042D79" w14:paraId="68F52F49" w14:textId="77777777" w:rsidTr="00B53B84">
        <w:trPr>
          <w:trHeight w:val="227"/>
          <w:jc w:val="center"/>
        </w:trPr>
        <w:tc>
          <w:tcPr>
            <w:tcW w:w="706" w:type="dxa"/>
          </w:tcPr>
          <w:p w14:paraId="16956214" w14:textId="4A6CB20A" w:rsidR="00E36178" w:rsidRDefault="00B61205" w:rsidP="00E3617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lastRenderedPageBreak/>
              <w:t>2.7.1</w:t>
            </w:r>
            <w:r w:rsidR="00E3617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209" w:type="dxa"/>
            <w:gridSpan w:val="2"/>
            <w:vAlign w:val="center"/>
          </w:tcPr>
          <w:p w14:paraId="3ECCE487" w14:textId="66E6C565" w:rsidR="00E36178" w:rsidRDefault="00E36178" w:rsidP="00E36178">
            <w:pPr>
              <w:spacing w:line="276" w:lineRule="auto"/>
              <w:rPr>
                <w:rFonts w:ascii="Arial" w:eastAsia="Arial Regular" w:hAnsi="Arial" w:cs="Arial"/>
                <w:color w:val="222222"/>
                <w:sz w:val="16"/>
                <w:szCs w:val="16"/>
              </w:rPr>
            </w:pPr>
            <w:r w:rsidRPr="00145299">
              <w:rPr>
                <w:rFonts w:ascii="Arial" w:hAnsi="Arial" w:cs="Arial"/>
                <w:sz w:val="16"/>
                <w:szCs w:val="16"/>
              </w:rPr>
              <w:t xml:space="preserve">при совершении </w:t>
            </w:r>
            <w:r w:rsidR="00B61205" w:rsidRPr="00145299">
              <w:rPr>
                <w:rFonts w:ascii="Arial" w:hAnsi="Arial" w:cs="Arial"/>
                <w:sz w:val="16"/>
                <w:szCs w:val="16"/>
              </w:rPr>
              <w:t>операций,</w:t>
            </w:r>
            <w:r w:rsidRPr="00145299">
              <w:rPr>
                <w:rFonts w:ascii="Arial" w:hAnsi="Arial" w:cs="Arial"/>
                <w:sz w:val="16"/>
                <w:szCs w:val="16"/>
              </w:rPr>
              <w:t xml:space="preserve"> имеющих признаки проведения мошеннических (неправомерных) операций с использованием банковских карт, в том числе, посредством сети интернет;</w:t>
            </w:r>
          </w:p>
          <w:p w14:paraId="7BE05A4D" w14:textId="4A6D034A" w:rsidR="00E36178" w:rsidRPr="00C969C3" w:rsidRDefault="00E36178" w:rsidP="00E36178">
            <w:pPr>
              <w:spacing w:line="276" w:lineRule="auto"/>
              <w:rPr>
                <w:rFonts w:ascii="Arial" w:eastAsia="Arial Regular" w:hAnsi="Arial" w:cs="Arial"/>
                <w:color w:val="222222"/>
                <w:sz w:val="16"/>
                <w:szCs w:val="16"/>
              </w:rPr>
            </w:pPr>
          </w:p>
        </w:tc>
      </w:tr>
      <w:tr w:rsidR="00E36178" w:rsidRPr="00042D79" w14:paraId="0F5C35A9" w14:textId="77777777" w:rsidTr="00B53B84">
        <w:trPr>
          <w:trHeight w:val="227"/>
          <w:jc w:val="center"/>
        </w:trPr>
        <w:tc>
          <w:tcPr>
            <w:tcW w:w="706" w:type="dxa"/>
          </w:tcPr>
          <w:p w14:paraId="7EF8E1AD" w14:textId="1357F6CC" w:rsidR="00E36178" w:rsidRDefault="00B61205" w:rsidP="00E3617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2.7.2</w:t>
            </w:r>
            <w:r w:rsidR="00E3617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209" w:type="dxa"/>
            <w:gridSpan w:val="2"/>
            <w:vAlign w:val="center"/>
          </w:tcPr>
          <w:p w14:paraId="2CF6B3CB" w14:textId="7D58C51C" w:rsidR="00E36178" w:rsidRPr="00C969C3" w:rsidRDefault="00E36178" w:rsidP="00E36178">
            <w:pPr>
              <w:spacing w:line="276" w:lineRule="auto"/>
              <w:rPr>
                <w:rFonts w:ascii="Arial" w:eastAsia="Arial Regular" w:hAnsi="Arial" w:cs="Arial"/>
                <w:color w:val="222222"/>
                <w:sz w:val="16"/>
                <w:szCs w:val="16"/>
              </w:rPr>
            </w:pPr>
            <w:r w:rsidRPr="00145299">
              <w:rPr>
                <w:rFonts w:ascii="Arial" w:hAnsi="Arial" w:cs="Arial"/>
                <w:sz w:val="16"/>
                <w:szCs w:val="16"/>
              </w:rPr>
              <w:t>при совершении операций имеющих признаки злоупотребления настоящими Правилами;</w:t>
            </w:r>
          </w:p>
        </w:tc>
      </w:tr>
      <w:tr w:rsidR="00E36178" w:rsidRPr="00042D79" w14:paraId="61E8659A" w14:textId="77777777" w:rsidTr="00B53B84">
        <w:trPr>
          <w:trHeight w:val="227"/>
          <w:jc w:val="center"/>
        </w:trPr>
        <w:tc>
          <w:tcPr>
            <w:tcW w:w="706" w:type="dxa"/>
          </w:tcPr>
          <w:p w14:paraId="79B9FC8B" w14:textId="2D5B554D" w:rsidR="00E36178" w:rsidRDefault="00B61205" w:rsidP="00E3617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2.7.3</w:t>
            </w:r>
            <w:r w:rsidR="00E36178">
              <w:rPr>
                <w:rFonts w:ascii="Arial" w:hAnsi="Arial" w:cs="Arial"/>
                <w:sz w:val="16"/>
                <w:szCs w:val="16"/>
              </w:rPr>
              <w:t>.</w:t>
            </w:r>
          </w:p>
        </w:tc>
        <w:tc>
          <w:tcPr>
            <w:tcW w:w="10209" w:type="dxa"/>
            <w:gridSpan w:val="2"/>
            <w:vAlign w:val="center"/>
          </w:tcPr>
          <w:p w14:paraId="6F1A602C" w14:textId="77076C8B" w:rsidR="00E36178" w:rsidRPr="00C969C3" w:rsidRDefault="00E36178" w:rsidP="00E36178">
            <w:pPr>
              <w:spacing w:line="276" w:lineRule="auto"/>
              <w:rPr>
                <w:rFonts w:ascii="Arial" w:eastAsia="Arial Regular" w:hAnsi="Arial" w:cs="Arial"/>
                <w:color w:val="222222"/>
                <w:sz w:val="16"/>
                <w:szCs w:val="16"/>
              </w:rPr>
            </w:pPr>
            <w:r w:rsidRPr="00145299">
              <w:rPr>
                <w:rFonts w:ascii="Arial" w:hAnsi="Arial" w:cs="Arial"/>
                <w:sz w:val="16"/>
                <w:szCs w:val="16"/>
              </w:rPr>
              <w:t>если Участник является участником и/или единоличным исполнительным органом ТСП, или Индивидуальным предпринимателем, осуществляющим деятельность в ТСП, в котором совершаются операции для получения Бонусных рублей.</w:t>
            </w:r>
          </w:p>
        </w:tc>
      </w:tr>
      <w:tr w:rsidR="00E36178" w:rsidRPr="00042D79" w14:paraId="55B5E29F" w14:textId="77777777" w:rsidTr="00B53B84">
        <w:trPr>
          <w:trHeight w:val="227"/>
          <w:jc w:val="center"/>
        </w:trPr>
        <w:tc>
          <w:tcPr>
            <w:tcW w:w="706" w:type="dxa"/>
          </w:tcPr>
          <w:p w14:paraId="57646F12" w14:textId="1967AD70" w:rsidR="00E36178" w:rsidRDefault="00E36178" w:rsidP="00E36178">
            <w:pPr>
              <w:spacing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2.8.</w:t>
            </w:r>
          </w:p>
        </w:tc>
        <w:tc>
          <w:tcPr>
            <w:tcW w:w="10209" w:type="dxa"/>
            <w:gridSpan w:val="2"/>
            <w:vAlign w:val="center"/>
          </w:tcPr>
          <w:p w14:paraId="3553907B" w14:textId="77777777" w:rsidR="00E36178" w:rsidRDefault="00E36178" w:rsidP="00E36178">
            <w:pPr>
              <w:contextualSpacing/>
              <w:jc w:val="both"/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</w:pPr>
            <w:r w:rsidRPr="00135FCF">
              <w:rPr>
                <w:rFonts w:ascii="Arial" w:hAnsi="Arial" w:cs="Arial"/>
                <w:color w:val="262626" w:themeColor="text1" w:themeTint="D9"/>
                <w:sz w:val="16"/>
                <w:szCs w:val="16"/>
              </w:rPr>
              <w:t>Банк вправе отменить начисление Бонусных рублей за отдельные операции с использованием Карты, без уведомления и объяснения причин, в случае если Клиент не соблюдает настоящие Правила и/или совершает мошеннические действия, и/или злоупотребляет какими-либо привилегиями и поощрениями, предоставляемыми Клиенту в рамках настоящей Бонусной Программы, и/или предоставляет информацию, вводящую Банк в заблуждение.</w:t>
            </w:r>
          </w:p>
          <w:p w14:paraId="4305EF30" w14:textId="310C061F" w:rsidR="00E36178" w:rsidRPr="00F01409" w:rsidRDefault="00E36178" w:rsidP="00E36178">
            <w:pPr>
              <w:contextualSpacing/>
              <w:jc w:val="both"/>
              <w:rPr>
                <w:rFonts w:ascii="Arial" w:hAnsi="Arial" w:cs="Arial"/>
                <w:b/>
                <w:sz w:val="16"/>
                <w:szCs w:val="16"/>
              </w:rPr>
            </w:pPr>
          </w:p>
        </w:tc>
      </w:tr>
    </w:tbl>
    <w:p w14:paraId="369613E7" w14:textId="66CFB4CA" w:rsidR="00DC1165" w:rsidRPr="00DC1165" w:rsidRDefault="00DC1165" w:rsidP="00DC1165">
      <w:pPr>
        <w:pStyle w:val="a4"/>
        <w:ind w:left="720"/>
        <w:rPr>
          <w:rFonts w:ascii="Arial" w:eastAsia="Arial Regular" w:hAnsi="Arial" w:cs="Arial"/>
          <w:color w:val="525252"/>
          <w:sz w:val="12"/>
          <w:szCs w:val="12"/>
        </w:rPr>
      </w:pPr>
    </w:p>
    <w:tbl>
      <w:tblPr>
        <w:tblStyle w:val="a3"/>
        <w:tblW w:w="11091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CellMar>
          <w:top w:w="28" w:type="dxa"/>
          <w:bottom w:w="28" w:type="dxa"/>
        </w:tblCellMar>
        <w:tblLook w:val="04A0" w:firstRow="1" w:lastRow="0" w:firstColumn="1" w:lastColumn="0" w:noHBand="0" w:noVBand="1"/>
      </w:tblPr>
      <w:tblGrid>
        <w:gridCol w:w="734"/>
        <w:gridCol w:w="10357"/>
      </w:tblGrid>
      <w:tr w:rsidR="00600981" w:rsidRPr="00042D79" w14:paraId="5FAE3755" w14:textId="77777777" w:rsidTr="00B53B84">
        <w:trPr>
          <w:trHeight w:val="238"/>
          <w:jc w:val="center"/>
        </w:trPr>
        <w:tc>
          <w:tcPr>
            <w:tcW w:w="734" w:type="dxa"/>
            <w:shd w:val="clear" w:color="auto" w:fill="F5F5F5"/>
          </w:tcPr>
          <w:p w14:paraId="0566029D" w14:textId="0F69FF24" w:rsidR="00600981" w:rsidRPr="00042D79" w:rsidRDefault="00600981" w:rsidP="008665C5">
            <w:pPr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 w:rsidRPr="00042D79">
              <w:rPr>
                <w:rFonts w:ascii="Arial" w:hAnsi="Arial" w:cs="Arial"/>
                <w:b/>
                <w:bCs/>
              </w:rPr>
              <w:t>3.</w:t>
            </w:r>
          </w:p>
        </w:tc>
        <w:tc>
          <w:tcPr>
            <w:tcW w:w="10357" w:type="dxa"/>
            <w:shd w:val="clear" w:color="auto" w:fill="F5F5F5"/>
          </w:tcPr>
          <w:p w14:paraId="357EE1EE" w14:textId="6E82D4A1" w:rsidR="00600981" w:rsidRPr="00042D79" w:rsidRDefault="00600981" w:rsidP="008665C5">
            <w:pPr>
              <w:spacing w:before="120" w:after="120" w:line="276" w:lineRule="auto"/>
              <w:rPr>
                <w:rFonts w:ascii="Arial" w:eastAsia="Arial Bold" w:hAnsi="Arial" w:cs="Arial"/>
                <w:b/>
                <w:bCs/>
                <w:color w:val="222222"/>
              </w:rPr>
            </w:pPr>
            <w:r w:rsidRPr="00042D79">
              <w:rPr>
                <w:rFonts w:ascii="Arial" w:eastAsia="Arial Bold" w:hAnsi="Arial" w:cs="Arial"/>
                <w:b/>
                <w:bCs/>
                <w:color w:val="222222"/>
                <w:sz w:val="22"/>
                <w:szCs w:val="22"/>
              </w:rPr>
              <w:t>Выплата Бонусных рублей</w:t>
            </w:r>
          </w:p>
        </w:tc>
      </w:tr>
      <w:tr w:rsidR="00600981" w:rsidRPr="00042D79" w14:paraId="60867A4C" w14:textId="77777777" w:rsidTr="00B53B84">
        <w:trPr>
          <w:trHeight w:val="238"/>
          <w:jc w:val="center"/>
        </w:trPr>
        <w:tc>
          <w:tcPr>
            <w:tcW w:w="734" w:type="dxa"/>
          </w:tcPr>
          <w:p w14:paraId="67D27D52" w14:textId="5DB18C4E" w:rsidR="00600981" w:rsidRPr="00042D79" w:rsidRDefault="00600981" w:rsidP="00600981">
            <w:pPr>
              <w:spacing w:before="120" w:after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042D79">
              <w:rPr>
                <w:rFonts w:ascii="Arial" w:hAnsi="Arial" w:cs="Arial"/>
                <w:sz w:val="16"/>
                <w:szCs w:val="16"/>
              </w:rPr>
              <w:t>3.1.</w:t>
            </w:r>
          </w:p>
        </w:tc>
        <w:tc>
          <w:tcPr>
            <w:tcW w:w="10357" w:type="dxa"/>
            <w:vAlign w:val="center"/>
          </w:tcPr>
          <w:p w14:paraId="111EAAAD" w14:textId="55D42E4E" w:rsidR="00F54FA1" w:rsidRPr="008D2E0E" w:rsidRDefault="00BB7FD9" w:rsidP="005E5733">
            <w:pPr>
              <w:spacing w:before="120" w:after="120" w:line="276" w:lineRule="auto"/>
              <w:rPr>
                <w:rFonts w:ascii="Arial" w:eastAsia="Arial Regular" w:hAnsi="Arial" w:cs="Arial"/>
                <w:color w:val="222222"/>
                <w:sz w:val="16"/>
                <w:szCs w:val="16"/>
              </w:rPr>
            </w:pPr>
            <w:r w:rsidRPr="00042D79">
              <w:rPr>
                <w:rFonts w:ascii="Arial" w:eastAsia="Arial Regular" w:hAnsi="Arial" w:cs="Arial"/>
                <w:color w:val="222222"/>
                <w:sz w:val="16"/>
                <w:szCs w:val="16"/>
              </w:rPr>
              <w:t xml:space="preserve">Конвертация Бонусных рублей, начисленных на Бонусный счет в соответствии с настоящими Правилами, осуществляется с зачислением денежных средств на </w:t>
            </w:r>
            <w:r>
              <w:rPr>
                <w:rFonts w:ascii="Arial" w:eastAsia="Arial Regular" w:hAnsi="Arial" w:cs="Arial"/>
                <w:color w:val="222222"/>
                <w:sz w:val="16"/>
                <w:szCs w:val="16"/>
              </w:rPr>
              <w:t>С</w:t>
            </w:r>
            <w:r w:rsidRPr="00042D79">
              <w:rPr>
                <w:rFonts w:ascii="Arial" w:eastAsia="Arial Regular" w:hAnsi="Arial" w:cs="Arial"/>
                <w:color w:val="222222"/>
                <w:sz w:val="16"/>
                <w:szCs w:val="16"/>
              </w:rPr>
              <w:t xml:space="preserve">чет </w:t>
            </w:r>
            <w:r>
              <w:rPr>
                <w:rFonts w:ascii="Arial" w:eastAsia="Arial Regular" w:hAnsi="Arial" w:cs="Arial"/>
                <w:color w:val="222222"/>
                <w:sz w:val="16"/>
                <w:szCs w:val="16"/>
              </w:rPr>
              <w:t>Участника</w:t>
            </w:r>
            <w:r w:rsidRPr="00042D79">
              <w:rPr>
                <w:rFonts w:ascii="Arial" w:eastAsia="Arial Regular" w:hAnsi="Arial" w:cs="Arial"/>
                <w:color w:val="222222"/>
                <w:sz w:val="16"/>
                <w:szCs w:val="16"/>
              </w:rPr>
              <w:t xml:space="preserve">, при условии запроса Клиента в личном кабинете ДБО соответствующей операции. Конвертация может быть произведена в любой момент при достижении Клиентом </w:t>
            </w:r>
            <w:r>
              <w:rPr>
                <w:rFonts w:ascii="Arial" w:eastAsia="Arial Regular" w:hAnsi="Arial" w:cs="Arial"/>
                <w:color w:val="222222"/>
                <w:sz w:val="16"/>
                <w:szCs w:val="16"/>
              </w:rPr>
              <w:t xml:space="preserve">доступного для конвертации </w:t>
            </w:r>
            <w:r w:rsidRPr="00042D79">
              <w:rPr>
                <w:rFonts w:ascii="Arial" w:eastAsia="Arial Regular" w:hAnsi="Arial" w:cs="Arial"/>
                <w:color w:val="222222"/>
                <w:sz w:val="16"/>
                <w:szCs w:val="16"/>
              </w:rPr>
              <w:t xml:space="preserve">остатка на Бонусном счете </w:t>
            </w:r>
            <w:r>
              <w:rPr>
                <w:rFonts w:ascii="Arial" w:eastAsia="Arial Regular" w:hAnsi="Arial" w:cs="Arial"/>
                <w:color w:val="222222"/>
                <w:sz w:val="16"/>
                <w:szCs w:val="16"/>
              </w:rPr>
              <w:t>от</w:t>
            </w:r>
            <w:r w:rsidRPr="00042D79">
              <w:rPr>
                <w:rFonts w:ascii="Arial" w:eastAsia="Arial Regular" w:hAnsi="Arial" w:cs="Arial"/>
                <w:color w:val="222222"/>
                <w:sz w:val="16"/>
                <w:szCs w:val="16"/>
              </w:rPr>
              <w:t xml:space="preserve"> </w:t>
            </w:r>
            <w:r w:rsidR="005E5733" w:rsidRPr="00F01409">
              <w:rPr>
                <w:rFonts w:ascii="Arial" w:eastAsia="Arial Regular" w:hAnsi="Arial" w:cs="Arial"/>
                <w:b/>
                <w:sz w:val="16"/>
                <w:szCs w:val="16"/>
              </w:rPr>
              <w:t>500</w:t>
            </w:r>
            <w:r w:rsidRPr="00D64576">
              <w:rPr>
                <w:rFonts w:ascii="Arial" w:eastAsia="Arial Regular" w:hAnsi="Arial" w:cs="Arial"/>
                <w:color w:val="FF0000"/>
                <w:sz w:val="16"/>
                <w:szCs w:val="16"/>
              </w:rPr>
              <w:t xml:space="preserve"> </w:t>
            </w:r>
            <w:r w:rsidRPr="00042D79">
              <w:rPr>
                <w:rFonts w:ascii="Arial" w:eastAsia="Arial Regular" w:hAnsi="Arial" w:cs="Arial"/>
                <w:color w:val="222222"/>
                <w:sz w:val="16"/>
                <w:szCs w:val="16"/>
              </w:rPr>
              <w:t>Бонусных рублей. Зачисление денежных средств на Счет Участника осуществляется не позднее 2-х рабочих дней с момента запроса соответствующей операции со стороны Участника, с одновременным выполнением Процедуры Списания Бонус</w:t>
            </w:r>
            <w:r>
              <w:rPr>
                <w:rFonts w:ascii="Arial" w:eastAsia="Arial Regular" w:hAnsi="Arial" w:cs="Arial"/>
                <w:color w:val="222222"/>
                <w:sz w:val="16"/>
                <w:szCs w:val="16"/>
              </w:rPr>
              <w:t>ных рублей с Бонусного счета</w:t>
            </w:r>
            <w:r w:rsidRPr="00042D79">
              <w:rPr>
                <w:rFonts w:ascii="Arial" w:eastAsia="Arial Regular" w:hAnsi="Arial" w:cs="Arial"/>
                <w:color w:val="222222"/>
                <w:sz w:val="16"/>
                <w:szCs w:val="16"/>
              </w:rPr>
              <w:t>.</w:t>
            </w:r>
          </w:p>
        </w:tc>
      </w:tr>
      <w:tr w:rsidR="00600981" w:rsidRPr="00042D79" w14:paraId="40F94123" w14:textId="77777777" w:rsidTr="00B53B84">
        <w:trPr>
          <w:trHeight w:val="238"/>
          <w:jc w:val="center"/>
        </w:trPr>
        <w:tc>
          <w:tcPr>
            <w:tcW w:w="734" w:type="dxa"/>
            <w:shd w:val="clear" w:color="auto" w:fill="F5F5F5"/>
          </w:tcPr>
          <w:p w14:paraId="63E36442" w14:textId="0E6CB1C0" w:rsidR="00600981" w:rsidRPr="00042D79" w:rsidRDefault="00600981" w:rsidP="008665C5">
            <w:pPr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 w:rsidRPr="00042D79">
              <w:rPr>
                <w:rFonts w:ascii="Arial" w:hAnsi="Arial" w:cs="Arial"/>
                <w:b/>
                <w:bCs/>
              </w:rPr>
              <w:t>4.</w:t>
            </w:r>
          </w:p>
        </w:tc>
        <w:tc>
          <w:tcPr>
            <w:tcW w:w="10357" w:type="dxa"/>
            <w:shd w:val="clear" w:color="auto" w:fill="F5F5F5"/>
          </w:tcPr>
          <w:p w14:paraId="258A2D51" w14:textId="0EF24235" w:rsidR="00600981" w:rsidRPr="00042D79" w:rsidRDefault="00600981" w:rsidP="008665C5">
            <w:pPr>
              <w:spacing w:before="120" w:after="120" w:line="276" w:lineRule="auto"/>
              <w:rPr>
                <w:rFonts w:ascii="Arial" w:eastAsia="Arial Bold" w:hAnsi="Arial" w:cs="Arial"/>
                <w:b/>
                <w:bCs/>
                <w:color w:val="222222"/>
              </w:rPr>
            </w:pPr>
            <w:r w:rsidRPr="00042D79">
              <w:rPr>
                <w:rFonts w:ascii="Arial" w:eastAsia="Arial Bold" w:hAnsi="Arial" w:cs="Arial"/>
                <w:b/>
                <w:bCs/>
                <w:color w:val="222222"/>
                <w:sz w:val="22"/>
                <w:szCs w:val="22"/>
              </w:rPr>
              <w:t>Аннулирование Бонусных рублей</w:t>
            </w:r>
          </w:p>
        </w:tc>
      </w:tr>
      <w:tr w:rsidR="00600981" w:rsidRPr="00042D79" w14:paraId="153B7CBA" w14:textId="77777777" w:rsidTr="00B53B84">
        <w:trPr>
          <w:trHeight w:val="238"/>
          <w:jc w:val="center"/>
        </w:trPr>
        <w:tc>
          <w:tcPr>
            <w:tcW w:w="734" w:type="dxa"/>
          </w:tcPr>
          <w:p w14:paraId="2EBDBB57" w14:textId="7085C626" w:rsidR="00600981" w:rsidRPr="00042D79" w:rsidRDefault="00600981" w:rsidP="00DC1165">
            <w:pPr>
              <w:spacing w:before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042D79">
              <w:rPr>
                <w:rFonts w:ascii="Arial" w:hAnsi="Arial" w:cs="Arial"/>
                <w:sz w:val="16"/>
                <w:szCs w:val="16"/>
              </w:rPr>
              <w:t>4.1.</w:t>
            </w:r>
          </w:p>
        </w:tc>
        <w:tc>
          <w:tcPr>
            <w:tcW w:w="10357" w:type="dxa"/>
            <w:vAlign w:val="center"/>
          </w:tcPr>
          <w:p w14:paraId="3FC8CBB4" w14:textId="0E5E0A4D" w:rsidR="00600981" w:rsidRPr="00042D79" w:rsidRDefault="00600981" w:rsidP="00DC1165">
            <w:pPr>
              <w:spacing w:before="120" w:line="276" w:lineRule="auto"/>
              <w:rPr>
                <w:rFonts w:ascii="Arial" w:eastAsia="Arial Regular" w:hAnsi="Arial" w:cs="Arial"/>
                <w:color w:val="222222"/>
                <w:sz w:val="16"/>
                <w:szCs w:val="16"/>
              </w:rPr>
            </w:pPr>
            <w:r w:rsidRPr="00042D79">
              <w:rPr>
                <w:rFonts w:ascii="Arial" w:eastAsia="Arial Regular" w:hAnsi="Arial" w:cs="Arial"/>
                <w:color w:val="222222"/>
                <w:sz w:val="16"/>
                <w:szCs w:val="16"/>
              </w:rPr>
              <w:t>Банк производит Процедуру Аннулирования Бонусных рублей по следующим основаниям:</w:t>
            </w:r>
          </w:p>
        </w:tc>
      </w:tr>
      <w:tr w:rsidR="00600981" w:rsidRPr="00042D79" w14:paraId="079A23C5" w14:textId="77777777" w:rsidTr="00B53B84">
        <w:trPr>
          <w:trHeight w:val="238"/>
          <w:jc w:val="center"/>
        </w:trPr>
        <w:tc>
          <w:tcPr>
            <w:tcW w:w="734" w:type="dxa"/>
          </w:tcPr>
          <w:p w14:paraId="3D2651DD" w14:textId="2BA29FD1" w:rsidR="00600981" w:rsidRPr="00042D79" w:rsidRDefault="00600981" w:rsidP="00DC1165">
            <w:pPr>
              <w:spacing w:before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042D79">
              <w:rPr>
                <w:rFonts w:ascii="Arial" w:hAnsi="Arial" w:cs="Arial"/>
                <w:sz w:val="16"/>
                <w:szCs w:val="16"/>
              </w:rPr>
              <w:t>4.1.1.</w:t>
            </w:r>
          </w:p>
        </w:tc>
        <w:tc>
          <w:tcPr>
            <w:tcW w:w="10357" w:type="dxa"/>
            <w:vAlign w:val="center"/>
          </w:tcPr>
          <w:p w14:paraId="021F58B1" w14:textId="4FD299A1" w:rsidR="00600981" w:rsidRPr="00042D79" w:rsidRDefault="00600981" w:rsidP="00DC1165">
            <w:pPr>
              <w:spacing w:before="120" w:line="276" w:lineRule="auto"/>
              <w:rPr>
                <w:rFonts w:ascii="Arial" w:eastAsia="Arial Regular" w:hAnsi="Arial" w:cs="Arial"/>
                <w:color w:val="222222"/>
                <w:sz w:val="16"/>
                <w:szCs w:val="16"/>
              </w:rPr>
            </w:pPr>
            <w:r w:rsidRPr="00042D79">
              <w:rPr>
                <w:rFonts w:ascii="Arial" w:eastAsia="Arial Regular" w:hAnsi="Arial" w:cs="Arial"/>
                <w:color w:val="222222"/>
                <w:sz w:val="16"/>
                <w:szCs w:val="16"/>
              </w:rPr>
              <w:t>В случае прекращения участия Участника в Программе по инициативе Участника;</w:t>
            </w:r>
          </w:p>
        </w:tc>
      </w:tr>
      <w:tr w:rsidR="00600981" w:rsidRPr="00042D79" w14:paraId="3C2C293D" w14:textId="77777777" w:rsidTr="00B53B84">
        <w:trPr>
          <w:trHeight w:val="238"/>
          <w:jc w:val="center"/>
        </w:trPr>
        <w:tc>
          <w:tcPr>
            <w:tcW w:w="734" w:type="dxa"/>
          </w:tcPr>
          <w:p w14:paraId="1880E18C" w14:textId="0B9A6E17" w:rsidR="00600981" w:rsidRPr="00042D79" w:rsidRDefault="00600981" w:rsidP="00DC1165">
            <w:pPr>
              <w:spacing w:before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042D79">
              <w:rPr>
                <w:rFonts w:ascii="Arial" w:hAnsi="Arial" w:cs="Arial"/>
                <w:sz w:val="16"/>
                <w:szCs w:val="16"/>
              </w:rPr>
              <w:t>4.1.2.</w:t>
            </w:r>
          </w:p>
        </w:tc>
        <w:tc>
          <w:tcPr>
            <w:tcW w:w="10357" w:type="dxa"/>
            <w:vAlign w:val="center"/>
          </w:tcPr>
          <w:p w14:paraId="23598410" w14:textId="008DE80F" w:rsidR="00600981" w:rsidRPr="00042D79" w:rsidRDefault="00600981" w:rsidP="00DC1165">
            <w:pPr>
              <w:spacing w:before="120" w:line="276" w:lineRule="auto"/>
              <w:rPr>
                <w:rFonts w:ascii="Arial" w:eastAsia="Arial Regular" w:hAnsi="Arial" w:cs="Arial"/>
                <w:color w:val="222222"/>
                <w:sz w:val="16"/>
                <w:szCs w:val="16"/>
              </w:rPr>
            </w:pPr>
            <w:r w:rsidRPr="00042D79">
              <w:rPr>
                <w:rFonts w:ascii="Arial" w:eastAsia="Arial Regular" w:hAnsi="Arial" w:cs="Arial"/>
                <w:color w:val="222222"/>
                <w:sz w:val="16"/>
                <w:szCs w:val="16"/>
              </w:rPr>
              <w:t>В случае закрытия всех счетов Клиента в Банке;</w:t>
            </w:r>
          </w:p>
        </w:tc>
      </w:tr>
      <w:tr w:rsidR="00600981" w:rsidRPr="00042D79" w14:paraId="3E49588A" w14:textId="77777777" w:rsidTr="00B53B84">
        <w:trPr>
          <w:trHeight w:val="238"/>
          <w:jc w:val="center"/>
        </w:trPr>
        <w:tc>
          <w:tcPr>
            <w:tcW w:w="734" w:type="dxa"/>
          </w:tcPr>
          <w:p w14:paraId="7A73AF22" w14:textId="3BDCB856" w:rsidR="00600981" w:rsidRPr="00042D79" w:rsidRDefault="00600981" w:rsidP="00DC1165">
            <w:pPr>
              <w:spacing w:before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042D79">
              <w:rPr>
                <w:rFonts w:ascii="Arial" w:hAnsi="Arial" w:cs="Arial"/>
                <w:sz w:val="16"/>
                <w:szCs w:val="16"/>
              </w:rPr>
              <w:t>4.1.3.</w:t>
            </w:r>
          </w:p>
        </w:tc>
        <w:tc>
          <w:tcPr>
            <w:tcW w:w="10357" w:type="dxa"/>
            <w:vAlign w:val="center"/>
          </w:tcPr>
          <w:p w14:paraId="4312AB7B" w14:textId="19202D21" w:rsidR="00600981" w:rsidRPr="00042D79" w:rsidRDefault="00600981" w:rsidP="00DC1165">
            <w:pPr>
              <w:spacing w:before="120" w:line="276" w:lineRule="auto"/>
              <w:rPr>
                <w:rFonts w:ascii="Arial" w:eastAsia="Arial Regular" w:hAnsi="Arial" w:cs="Arial"/>
                <w:color w:val="222222"/>
                <w:sz w:val="16"/>
                <w:szCs w:val="16"/>
              </w:rPr>
            </w:pPr>
            <w:r w:rsidRPr="00042D79">
              <w:rPr>
                <w:rFonts w:ascii="Arial" w:eastAsia="Arial Regular" w:hAnsi="Arial" w:cs="Arial"/>
                <w:color w:val="222222"/>
                <w:sz w:val="16"/>
                <w:szCs w:val="16"/>
              </w:rPr>
              <w:t>В случае прекращения действия Программы Банком;</w:t>
            </w:r>
          </w:p>
        </w:tc>
      </w:tr>
      <w:tr w:rsidR="00600981" w:rsidRPr="00042D79" w14:paraId="49011A26" w14:textId="77777777" w:rsidTr="00B53B84">
        <w:trPr>
          <w:trHeight w:val="238"/>
          <w:jc w:val="center"/>
        </w:trPr>
        <w:tc>
          <w:tcPr>
            <w:tcW w:w="734" w:type="dxa"/>
          </w:tcPr>
          <w:p w14:paraId="2974946C" w14:textId="44F8CF6A" w:rsidR="00600981" w:rsidRPr="00042D79" w:rsidRDefault="00600981" w:rsidP="00DC1165">
            <w:pPr>
              <w:spacing w:before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042D79">
              <w:rPr>
                <w:rFonts w:ascii="Arial" w:hAnsi="Arial" w:cs="Arial"/>
                <w:sz w:val="16"/>
                <w:szCs w:val="16"/>
              </w:rPr>
              <w:t>4.1.4.</w:t>
            </w:r>
          </w:p>
        </w:tc>
        <w:tc>
          <w:tcPr>
            <w:tcW w:w="10357" w:type="dxa"/>
            <w:vAlign w:val="center"/>
          </w:tcPr>
          <w:p w14:paraId="786EAD73" w14:textId="236266EB" w:rsidR="00600981" w:rsidRPr="00042D79" w:rsidRDefault="00600981" w:rsidP="00DC1165">
            <w:pPr>
              <w:spacing w:before="120" w:line="276" w:lineRule="auto"/>
              <w:rPr>
                <w:rFonts w:ascii="Arial" w:eastAsia="Arial Regular" w:hAnsi="Arial" w:cs="Arial"/>
                <w:color w:val="222222"/>
                <w:sz w:val="16"/>
                <w:szCs w:val="16"/>
              </w:rPr>
            </w:pPr>
            <w:r w:rsidRPr="00042D79">
              <w:rPr>
                <w:rFonts w:ascii="Arial" w:eastAsia="Arial Regular" w:hAnsi="Arial" w:cs="Arial"/>
                <w:color w:val="222222"/>
                <w:sz w:val="16"/>
                <w:szCs w:val="16"/>
              </w:rPr>
              <w:t>В случае возврата покупки;</w:t>
            </w:r>
          </w:p>
        </w:tc>
      </w:tr>
      <w:tr w:rsidR="00600981" w:rsidRPr="00042D79" w14:paraId="30200E86" w14:textId="77777777" w:rsidTr="00B53B84">
        <w:trPr>
          <w:trHeight w:val="238"/>
          <w:jc w:val="center"/>
        </w:trPr>
        <w:tc>
          <w:tcPr>
            <w:tcW w:w="734" w:type="dxa"/>
          </w:tcPr>
          <w:p w14:paraId="2861B80A" w14:textId="21FA735D" w:rsidR="00600981" w:rsidRPr="00042D79" w:rsidRDefault="00600981" w:rsidP="00DC1165">
            <w:pPr>
              <w:spacing w:before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042D79">
              <w:rPr>
                <w:rFonts w:ascii="Arial" w:hAnsi="Arial" w:cs="Arial"/>
                <w:sz w:val="16"/>
                <w:szCs w:val="16"/>
              </w:rPr>
              <w:t>4.1.5.</w:t>
            </w:r>
          </w:p>
        </w:tc>
        <w:tc>
          <w:tcPr>
            <w:tcW w:w="10357" w:type="dxa"/>
            <w:vAlign w:val="center"/>
          </w:tcPr>
          <w:p w14:paraId="47DE2436" w14:textId="74CA8A99" w:rsidR="00600981" w:rsidRPr="00042D79" w:rsidRDefault="00600981" w:rsidP="00DC1165">
            <w:pPr>
              <w:spacing w:before="120" w:line="276" w:lineRule="auto"/>
              <w:rPr>
                <w:rFonts w:ascii="Arial" w:eastAsia="Arial Regular" w:hAnsi="Arial" w:cs="Arial"/>
                <w:color w:val="222222"/>
                <w:sz w:val="16"/>
                <w:szCs w:val="16"/>
              </w:rPr>
            </w:pPr>
            <w:r w:rsidRPr="00042D79">
              <w:rPr>
                <w:rFonts w:ascii="Arial" w:eastAsia="Arial Regular" w:hAnsi="Arial" w:cs="Arial"/>
                <w:color w:val="222222"/>
                <w:sz w:val="16"/>
                <w:szCs w:val="16"/>
              </w:rPr>
              <w:t>В случае неиспользования Бонусных рублей более 365 дней c даты зачисления Бонусных рублей на Бонусный счет Участника.</w:t>
            </w:r>
          </w:p>
        </w:tc>
      </w:tr>
      <w:tr w:rsidR="00F54FA1" w:rsidRPr="00042D79" w14:paraId="26CAFF80" w14:textId="77777777" w:rsidTr="00B53B84">
        <w:trPr>
          <w:trHeight w:val="238"/>
          <w:jc w:val="center"/>
        </w:trPr>
        <w:tc>
          <w:tcPr>
            <w:tcW w:w="734" w:type="dxa"/>
          </w:tcPr>
          <w:p w14:paraId="673D575B" w14:textId="7DF5EE71" w:rsidR="00F54FA1" w:rsidRPr="008D2E0E" w:rsidRDefault="00F54FA1" w:rsidP="00DC1165">
            <w:pPr>
              <w:spacing w:before="120" w:line="276" w:lineRule="auto"/>
              <w:rPr>
                <w:rFonts w:ascii="Arial" w:hAnsi="Arial" w:cs="Arial"/>
                <w:b/>
                <w:sz w:val="16"/>
                <w:szCs w:val="16"/>
              </w:rPr>
            </w:pPr>
            <w:r w:rsidRPr="008D2E0E">
              <w:rPr>
                <w:rFonts w:ascii="Arial" w:hAnsi="Arial" w:cs="Arial"/>
                <w:b/>
                <w:sz w:val="16"/>
                <w:szCs w:val="16"/>
              </w:rPr>
              <w:t>4.1.6.</w:t>
            </w:r>
          </w:p>
        </w:tc>
        <w:tc>
          <w:tcPr>
            <w:tcW w:w="10357" w:type="dxa"/>
            <w:vAlign w:val="center"/>
          </w:tcPr>
          <w:p w14:paraId="374D2D2E" w14:textId="159EEE0F" w:rsidR="00F54FA1" w:rsidRPr="00D64576" w:rsidRDefault="00F54FA1" w:rsidP="00185301">
            <w:pPr>
              <w:jc w:val="both"/>
              <w:rPr>
                <w:rFonts w:ascii="Arial" w:hAnsi="Arial" w:cs="Arial"/>
                <w:sz w:val="16"/>
                <w:szCs w:val="16"/>
              </w:rPr>
            </w:pPr>
            <w:r w:rsidRPr="00D64576">
              <w:rPr>
                <w:rFonts w:ascii="Arial" w:hAnsi="Arial" w:cs="Arial"/>
                <w:sz w:val="16"/>
                <w:szCs w:val="16"/>
              </w:rPr>
              <w:t>В случае допущения Клиентом просроченной задолженности по возврату кредита, уплате процентов и иных платежей по Договору;</w:t>
            </w:r>
          </w:p>
        </w:tc>
      </w:tr>
      <w:tr w:rsidR="00600981" w:rsidRPr="00042D79" w14:paraId="223FABA7" w14:textId="77777777" w:rsidTr="00B53B84">
        <w:trPr>
          <w:trHeight w:val="238"/>
          <w:jc w:val="center"/>
        </w:trPr>
        <w:tc>
          <w:tcPr>
            <w:tcW w:w="734" w:type="dxa"/>
          </w:tcPr>
          <w:p w14:paraId="04A91C55" w14:textId="1BA902E0" w:rsidR="00600981" w:rsidRPr="00042D79" w:rsidRDefault="00600981" w:rsidP="00DC1165">
            <w:pPr>
              <w:spacing w:before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042D79">
              <w:rPr>
                <w:rFonts w:ascii="Arial" w:hAnsi="Arial" w:cs="Arial"/>
                <w:sz w:val="16"/>
                <w:szCs w:val="16"/>
              </w:rPr>
              <w:t>4.2.</w:t>
            </w:r>
          </w:p>
        </w:tc>
        <w:tc>
          <w:tcPr>
            <w:tcW w:w="10357" w:type="dxa"/>
            <w:vAlign w:val="center"/>
          </w:tcPr>
          <w:p w14:paraId="66B0A891" w14:textId="6DC982C7" w:rsidR="00F54FA1" w:rsidRPr="00042D79" w:rsidRDefault="00600981" w:rsidP="00F54FA1">
            <w:pPr>
              <w:spacing w:before="120" w:line="276" w:lineRule="auto"/>
              <w:rPr>
                <w:rFonts w:ascii="Arial" w:eastAsia="Arial Regular" w:hAnsi="Arial" w:cs="Arial"/>
                <w:color w:val="222222"/>
                <w:sz w:val="16"/>
                <w:szCs w:val="16"/>
              </w:rPr>
            </w:pPr>
            <w:r w:rsidRPr="00042D79">
              <w:rPr>
                <w:rFonts w:ascii="Arial" w:eastAsia="Arial Regular" w:hAnsi="Arial" w:cs="Arial"/>
                <w:color w:val="222222"/>
                <w:sz w:val="16"/>
                <w:szCs w:val="16"/>
              </w:rPr>
              <w:t>При наступлении указанных в п.4.1 Правил оснований неиспользованные Бонусные рубли, находящиеся на Бонусных счетах Участников, аннулируются без выплаты какого-либо эквивалента аннулированных Бонусных рублей.</w:t>
            </w:r>
          </w:p>
        </w:tc>
      </w:tr>
      <w:tr w:rsidR="00600981" w:rsidRPr="00042D79" w14:paraId="4D6BABD6" w14:textId="77777777" w:rsidTr="00B53B84">
        <w:trPr>
          <w:trHeight w:val="238"/>
          <w:jc w:val="center"/>
        </w:trPr>
        <w:tc>
          <w:tcPr>
            <w:tcW w:w="734" w:type="dxa"/>
            <w:shd w:val="clear" w:color="auto" w:fill="F5F5F5"/>
          </w:tcPr>
          <w:p w14:paraId="2A028B98" w14:textId="6BA5FF71" w:rsidR="00600981" w:rsidRPr="00042D79" w:rsidRDefault="00600981" w:rsidP="008665C5">
            <w:pPr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 w:rsidRPr="00042D79">
              <w:rPr>
                <w:rFonts w:ascii="Arial" w:hAnsi="Arial" w:cs="Arial"/>
                <w:b/>
                <w:bCs/>
              </w:rPr>
              <w:t>5.</w:t>
            </w:r>
          </w:p>
        </w:tc>
        <w:tc>
          <w:tcPr>
            <w:tcW w:w="10357" w:type="dxa"/>
            <w:shd w:val="clear" w:color="auto" w:fill="F5F5F5"/>
          </w:tcPr>
          <w:p w14:paraId="3EB1FE0A" w14:textId="2D5F182F" w:rsidR="00600981" w:rsidRPr="00042D79" w:rsidRDefault="00600981" w:rsidP="008665C5">
            <w:pPr>
              <w:spacing w:before="120" w:after="120" w:line="276" w:lineRule="auto"/>
              <w:rPr>
                <w:rFonts w:ascii="Arial" w:eastAsia="Arial Bold" w:hAnsi="Arial" w:cs="Arial"/>
                <w:b/>
                <w:bCs/>
                <w:color w:val="222222"/>
              </w:rPr>
            </w:pPr>
            <w:r w:rsidRPr="00042D79">
              <w:rPr>
                <w:rFonts w:ascii="Arial" w:eastAsia="Arial Bold" w:hAnsi="Arial" w:cs="Arial"/>
                <w:b/>
                <w:bCs/>
                <w:color w:val="222222"/>
                <w:sz w:val="22"/>
                <w:szCs w:val="22"/>
              </w:rPr>
              <w:t>Информация о Бонусных рублях</w:t>
            </w:r>
          </w:p>
        </w:tc>
      </w:tr>
      <w:tr w:rsidR="00600981" w:rsidRPr="00042D79" w14:paraId="6CD13988" w14:textId="77777777" w:rsidTr="00B53B84">
        <w:trPr>
          <w:trHeight w:val="238"/>
          <w:jc w:val="center"/>
        </w:trPr>
        <w:tc>
          <w:tcPr>
            <w:tcW w:w="734" w:type="dxa"/>
          </w:tcPr>
          <w:p w14:paraId="336E9249" w14:textId="26C91946" w:rsidR="00600981" w:rsidRPr="00042D79" w:rsidRDefault="00600981" w:rsidP="00DC1165">
            <w:pPr>
              <w:spacing w:before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042D79">
              <w:rPr>
                <w:rFonts w:ascii="Arial" w:hAnsi="Arial" w:cs="Arial"/>
                <w:sz w:val="16"/>
                <w:szCs w:val="16"/>
              </w:rPr>
              <w:t>5.1.</w:t>
            </w:r>
          </w:p>
        </w:tc>
        <w:tc>
          <w:tcPr>
            <w:tcW w:w="10357" w:type="dxa"/>
            <w:vAlign w:val="center"/>
          </w:tcPr>
          <w:p w14:paraId="33EED795" w14:textId="0E18A5CD" w:rsidR="00F54FA1" w:rsidRPr="00F01409" w:rsidRDefault="00600981" w:rsidP="00F01409">
            <w:pPr>
              <w:spacing w:before="120" w:line="276" w:lineRule="auto"/>
              <w:rPr>
                <w:rFonts w:ascii="Arial" w:eastAsia="Arial Regular" w:hAnsi="Arial" w:cs="Arial"/>
                <w:color w:val="222222"/>
                <w:sz w:val="16"/>
                <w:szCs w:val="16"/>
              </w:rPr>
            </w:pPr>
            <w:r w:rsidRPr="00F01409">
              <w:rPr>
                <w:rFonts w:ascii="Arial" w:eastAsia="Arial Regular" w:hAnsi="Arial" w:cs="Arial"/>
                <w:sz w:val="16"/>
                <w:szCs w:val="16"/>
              </w:rPr>
              <w:t>Информация</w:t>
            </w:r>
            <w:r w:rsidRPr="00D64576">
              <w:rPr>
                <w:rFonts w:ascii="Arial" w:eastAsia="Arial Regular" w:hAnsi="Arial" w:cs="Arial"/>
                <w:color w:val="FF0000"/>
                <w:sz w:val="16"/>
                <w:szCs w:val="16"/>
              </w:rPr>
              <w:t xml:space="preserve"> </w:t>
            </w:r>
            <w:r w:rsidRPr="00042D79">
              <w:rPr>
                <w:rFonts w:ascii="Arial" w:eastAsia="Arial Regular" w:hAnsi="Arial" w:cs="Arial"/>
                <w:color w:val="222222"/>
                <w:sz w:val="16"/>
                <w:szCs w:val="16"/>
              </w:rPr>
              <w:t>о начисленных и выплаченных Бонусных рублях, а также о Бонусных операциях, за которые были начислены Бонусные рубли, содержится в специальном разделе личного кабинета ДБО, при условии, что Клиент подключен к дистанционному банковскому обслуживанию.</w:t>
            </w:r>
          </w:p>
        </w:tc>
      </w:tr>
      <w:tr w:rsidR="00600981" w:rsidRPr="00042D79" w14:paraId="556556B5" w14:textId="77777777" w:rsidTr="00B53B84">
        <w:trPr>
          <w:trHeight w:val="238"/>
          <w:jc w:val="center"/>
        </w:trPr>
        <w:tc>
          <w:tcPr>
            <w:tcW w:w="734" w:type="dxa"/>
            <w:shd w:val="clear" w:color="auto" w:fill="F5F5F5"/>
          </w:tcPr>
          <w:p w14:paraId="5F2F9E8F" w14:textId="6EB55AEF" w:rsidR="00600981" w:rsidRPr="00042D79" w:rsidRDefault="00600981" w:rsidP="008665C5">
            <w:pPr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 w:rsidRPr="00042D79">
              <w:rPr>
                <w:rFonts w:ascii="Arial" w:hAnsi="Arial" w:cs="Arial"/>
                <w:b/>
                <w:bCs/>
              </w:rPr>
              <w:t>6.</w:t>
            </w:r>
          </w:p>
        </w:tc>
        <w:tc>
          <w:tcPr>
            <w:tcW w:w="10357" w:type="dxa"/>
            <w:shd w:val="clear" w:color="auto" w:fill="F5F5F5"/>
          </w:tcPr>
          <w:p w14:paraId="40E2BC79" w14:textId="3B60D510" w:rsidR="00600981" w:rsidRPr="00042D79" w:rsidRDefault="00600981" w:rsidP="008665C5">
            <w:pPr>
              <w:spacing w:before="120" w:after="120" w:line="276" w:lineRule="auto"/>
              <w:rPr>
                <w:rFonts w:ascii="Arial" w:eastAsia="Arial Bold" w:hAnsi="Arial" w:cs="Arial"/>
                <w:b/>
                <w:bCs/>
                <w:color w:val="222222"/>
              </w:rPr>
            </w:pPr>
            <w:r w:rsidRPr="00042D79">
              <w:rPr>
                <w:rFonts w:ascii="Arial" w:eastAsia="Arial Bold" w:hAnsi="Arial" w:cs="Arial"/>
                <w:b/>
                <w:bCs/>
                <w:color w:val="222222"/>
                <w:sz w:val="22"/>
                <w:szCs w:val="22"/>
              </w:rPr>
              <w:t>Прекращение участия в Программе</w:t>
            </w:r>
          </w:p>
        </w:tc>
      </w:tr>
      <w:tr w:rsidR="00600981" w:rsidRPr="00042D79" w14:paraId="7C8ED040" w14:textId="77777777" w:rsidTr="00B53B84">
        <w:trPr>
          <w:trHeight w:val="238"/>
          <w:jc w:val="center"/>
        </w:trPr>
        <w:tc>
          <w:tcPr>
            <w:tcW w:w="734" w:type="dxa"/>
          </w:tcPr>
          <w:p w14:paraId="3D483D8E" w14:textId="0918A4C0" w:rsidR="00600981" w:rsidRPr="00042D79" w:rsidRDefault="00600981" w:rsidP="00DC1165">
            <w:pPr>
              <w:spacing w:before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042D79">
              <w:rPr>
                <w:rFonts w:ascii="Arial" w:hAnsi="Arial" w:cs="Arial"/>
                <w:sz w:val="16"/>
                <w:szCs w:val="16"/>
              </w:rPr>
              <w:t>6.1.</w:t>
            </w:r>
          </w:p>
        </w:tc>
        <w:tc>
          <w:tcPr>
            <w:tcW w:w="10357" w:type="dxa"/>
            <w:vAlign w:val="center"/>
          </w:tcPr>
          <w:p w14:paraId="176E4662" w14:textId="708008C3" w:rsidR="00600981" w:rsidRPr="00042D79" w:rsidRDefault="00600981" w:rsidP="00DC1165">
            <w:pPr>
              <w:spacing w:before="120" w:line="276" w:lineRule="auto"/>
              <w:rPr>
                <w:rFonts w:ascii="Arial" w:eastAsia="Arial Regular" w:hAnsi="Arial" w:cs="Arial"/>
                <w:color w:val="222222"/>
                <w:sz w:val="16"/>
                <w:szCs w:val="16"/>
              </w:rPr>
            </w:pPr>
            <w:r w:rsidRPr="00042D79">
              <w:rPr>
                <w:rFonts w:ascii="Arial" w:eastAsia="Arial Regular" w:hAnsi="Arial" w:cs="Arial"/>
                <w:color w:val="222222"/>
                <w:sz w:val="16"/>
                <w:szCs w:val="16"/>
              </w:rPr>
              <w:t>Участник вправе отказаться от участия в Программе в любое время, предоставив в Банк заявление на прекращение участия в Программе. На основании заявления Участника его участие в Программе прекращается. Банк аннулирует Бонусные рубли Участника и прекращает начисление новых Бонусных рублей. Участник не имеет права на получение какого-либо эквивалента аннулированных Бонусных рублей.</w:t>
            </w:r>
          </w:p>
        </w:tc>
      </w:tr>
      <w:tr w:rsidR="00600981" w:rsidRPr="00042D79" w14:paraId="683C6C91" w14:textId="77777777" w:rsidTr="00B53B84">
        <w:trPr>
          <w:trHeight w:val="238"/>
          <w:jc w:val="center"/>
        </w:trPr>
        <w:tc>
          <w:tcPr>
            <w:tcW w:w="734" w:type="dxa"/>
          </w:tcPr>
          <w:p w14:paraId="5E577F1C" w14:textId="3D93BDE3" w:rsidR="00600981" w:rsidRPr="00042D79" w:rsidRDefault="00600981" w:rsidP="00DC1165">
            <w:pPr>
              <w:spacing w:before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042D79">
              <w:rPr>
                <w:rFonts w:ascii="Arial" w:hAnsi="Arial" w:cs="Arial"/>
                <w:sz w:val="16"/>
                <w:szCs w:val="16"/>
              </w:rPr>
              <w:t>6.2.</w:t>
            </w:r>
          </w:p>
        </w:tc>
        <w:tc>
          <w:tcPr>
            <w:tcW w:w="10357" w:type="dxa"/>
            <w:vAlign w:val="center"/>
          </w:tcPr>
          <w:p w14:paraId="5DB44809" w14:textId="0870F705" w:rsidR="00600981" w:rsidRPr="00042D79" w:rsidRDefault="00600981" w:rsidP="00DC1165">
            <w:pPr>
              <w:spacing w:before="120" w:line="276" w:lineRule="auto"/>
              <w:rPr>
                <w:rFonts w:ascii="Arial" w:eastAsia="Arial Regular" w:hAnsi="Arial" w:cs="Arial"/>
                <w:color w:val="222222"/>
                <w:sz w:val="16"/>
                <w:szCs w:val="16"/>
              </w:rPr>
            </w:pPr>
            <w:r w:rsidRPr="00042D79">
              <w:rPr>
                <w:rFonts w:ascii="Arial" w:eastAsia="Arial Regular" w:hAnsi="Arial" w:cs="Arial"/>
                <w:color w:val="222222"/>
                <w:sz w:val="16"/>
                <w:szCs w:val="16"/>
              </w:rPr>
              <w:t>Участие Участника в Программе прекращается в следующих случаях:</w:t>
            </w:r>
          </w:p>
        </w:tc>
      </w:tr>
      <w:tr w:rsidR="00600981" w:rsidRPr="00042D79" w14:paraId="60FA86F3" w14:textId="77777777" w:rsidTr="00B53B84">
        <w:trPr>
          <w:trHeight w:val="238"/>
          <w:jc w:val="center"/>
        </w:trPr>
        <w:tc>
          <w:tcPr>
            <w:tcW w:w="734" w:type="dxa"/>
          </w:tcPr>
          <w:p w14:paraId="503F25EC" w14:textId="20D7D0EF" w:rsidR="00600981" w:rsidRPr="00042D79" w:rsidRDefault="00600981" w:rsidP="00DC1165">
            <w:pPr>
              <w:spacing w:before="120" w:line="276" w:lineRule="auto"/>
              <w:rPr>
                <w:rFonts w:ascii="Arial" w:hAnsi="Arial" w:cs="Arial"/>
                <w:sz w:val="16"/>
                <w:szCs w:val="16"/>
              </w:rPr>
            </w:pPr>
            <w:r w:rsidRPr="00042D79">
              <w:rPr>
                <w:rFonts w:ascii="Arial" w:hAnsi="Arial" w:cs="Arial"/>
                <w:sz w:val="16"/>
                <w:szCs w:val="16"/>
              </w:rPr>
              <w:t>6.2.1.</w:t>
            </w:r>
          </w:p>
        </w:tc>
        <w:tc>
          <w:tcPr>
            <w:tcW w:w="10357" w:type="dxa"/>
            <w:vAlign w:val="center"/>
          </w:tcPr>
          <w:p w14:paraId="219EB7B6" w14:textId="74CA67EB" w:rsidR="00600981" w:rsidRPr="00042D79" w:rsidRDefault="00600981" w:rsidP="00DC1165">
            <w:pPr>
              <w:spacing w:before="120" w:line="276" w:lineRule="auto"/>
              <w:rPr>
                <w:rFonts w:ascii="Arial" w:eastAsia="Arial Regular" w:hAnsi="Arial" w:cs="Arial"/>
                <w:color w:val="222222"/>
                <w:sz w:val="16"/>
                <w:szCs w:val="16"/>
              </w:rPr>
            </w:pPr>
            <w:r w:rsidRPr="00042D79">
              <w:rPr>
                <w:rFonts w:ascii="Arial" w:eastAsia="Arial Regular" w:hAnsi="Arial" w:cs="Arial"/>
                <w:color w:val="222222"/>
                <w:sz w:val="16"/>
                <w:szCs w:val="16"/>
              </w:rPr>
              <w:t>при отказе Участника в соответствии с п.6.1 Правил;</w:t>
            </w:r>
          </w:p>
        </w:tc>
      </w:tr>
      <w:tr w:rsidR="00600981" w:rsidRPr="00042D79" w14:paraId="06367E24" w14:textId="77777777" w:rsidTr="00B53B84">
        <w:trPr>
          <w:trHeight w:val="238"/>
          <w:jc w:val="center"/>
        </w:trPr>
        <w:tc>
          <w:tcPr>
            <w:tcW w:w="734" w:type="dxa"/>
            <w:shd w:val="clear" w:color="auto" w:fill="F5F5F5"/>
          </w:tcPr>
          <w:p w14:paraId="108FF7A2" w14:textId="6F109E64" w:rsidR="00600981" w:rsidRPr="00042D79" w:rsidRDefault="00B057C5" w:rsidP="00B057C5">
            <w:pPr>
              <w:spacing w:before="120" w:after="120" w:line="276" w:lineRule="auto"/>
              <w:rPr>
                <w:rFonts w:ascii="Arial" w:hAnsi="Arial" w:cs="Arial"/>
                <w:b/>
                <w:bCs/>
              </w:rPr>
            </w:pPr>
            <w:r>
              <w:rPr>
                <w:rFonts w:ascii="Arial" w:hAnsi="Arial" w:cs="Arial"/>
                <w:b/>
                <w:bCs/>
              </w:rPr>
              <w:t>7</w:t>
            </w:r>
            <w:r w:rsidR="00600981" w:rsidRPr="00042D79">
              <w:rPr>
                <w:rFonts w:ascii="Arial" w:hAnsi="Arial" w:cs="Arial"/>
                <w:b/>
                <w:bCs/>
              </w:rPr>
              <w:t>.</w:t>
            </w:r>
          </w:p>
        </w:tc>
        <w:tc>
          <w:tcPr>
            <w:tcW w:w="10357" w:type="dxa"/>
            <w:shd w:val="clear" w:color="auto" w:fill="F5F5F5"/>
          </w:tcPr>
          <w:p w14:paraId="7E1BA92F" w14:textId="12A0DF7E" w:rsidR="00600981" w:rsidRPr="00042D79" w:rsidRDefault="00600981" w:rsidP="008665C5">
            <w:pPr>
              <w:spacing w:before="120" w:after="120" w:line="276" w:lineRule="auto"/>
              <w:rPr>
                <w:rFonts w:ascii="Arial" w:eastAsia="Arial Bold" w:hAnsi="Arial" w:cs="Arial"/>
                <w:b/>
                <w:bCs/>
                <w:color w:val="222222"/>
              </w:rPr>
            </w:pPr>
            <w:r w:rsidRPr="00042D79">
              <w:rPr>
                <w:rFonts w:ascii="Arial" w:eastAsia="Arial Bold" w:hAnsi="Arial" w:cs="Arial"/>
                <w:b/>
                <w:bCs/>
                <w:color w:val="222222"/>
                <w:sz w:val="22"/>
                <w:szCs w:val="22"/>
              </w:rPr>
              <w:t>Прочие условия</w:t>
            </w:r>
          </w:p>
        </w:tc>
      </w:tr>
      <w:tr w:rsidR="00600981" w:rsidRPr="00042D79" w14:paraId="4A48907E" w14:textId="77777777" w:rsidTr="00B53B84">
        <w:trPr>
          <w:trHeight w:val="238"/>
          <w:jc w:val="center"/>
        </w:trPr>
        <w:tc>
          <w:tcPr>
            <w:tcW w:w="734" w:type="dxa"/>
          </w:tcPr>
          <w:p w14:paraId="22457F00" w14:textId="34234150" w:rsidR="00600981" w:rsidRPr="00042D79" w:rsidRDefault="00B057C5" w:rsidP="00DC1165">
            <w:pPr>
              <w:spacing w:before="12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600981" w:rsidRPr="00042D79">
              <w:rPr>
                <w:rFonts w:ascii="Arial" w:hAnsi="Arial" w:cs="Arial"/>
                <w:sz w:val="16"/>
                <w:szCs w:val="16"/>
              </w:rPr>
              <w:t>.1.</w:t>
            </w:r>
          </w:p>
        </w:tc>
        <w:tc>
          <w:tcPr>
            <w:tcW w:w="10357" w:type="dxa"/>
            <w:vAlign w:val="center"/>
          </w:tcPr>
          <w:p w14:paraId="5F25DAD2" w14:textId="1BDEBAA4" w:rsidR="00600981" w:rsidRPr="00042D79" w:rsidRDefault="00600981" w:rsidP="00DC1165">
            <w:pPr>
              <w:spacing w:before="120" w:line="276" w:lineRule="auto"/>
              <w:rPr>
                <w:rFonts w:ascii="Arial" w:eastAsia="Arial Regular" w:hAnsi="Arial" w:cs="Arial"/>
                <w:color w:val="222222"/>
                <w:sz w:val="16"/>
                <w:szCs w:val="16"/>
              </w:rPr>
            </w:pPr>
            <w:r w:rsidRPr="00042D79">
              <w:rPr>
                <w:rFonts w:ascii="Arial" w:eastAsia="Arial Regular" w:hAnsi="Arial" w:cs="Arial"/>
                <w:color w:val="222222"/>
                <w:sz w:val="16"/>
                <w:szCs w:val="16"/>
              </w:rPr>
              <w:t>Банк не несет ответственности за корректность MCC-кода, присвоенного ТСП и/или банком-эквайером, обслуживающим ТСП.</w:t>
            </w:r>
          </w:p>
        </w:tc>
      </w:tr>
      <w:tr w:rsidR="00600981" w:rsidRPr="00042D79" w14:paraId="07C436E6" w14:textId="77777777" w:rsidTr="00B53B84">
        <w:trPr>
          <w:trHeight w:val="238"/>
          <w:jc w:val="center"/>
        </w:trPr>
        <w:tc>
          <w:tcPr>
            <w:tcW w:w="734" w:type="dxa"/>
          </w:tcPr>
          <w:p w14:paraId="0DDB56D3" w14:textId="52F1F702" w:rsidR="00600981" w:rsidRPr="00042D79" w:rsidRDefault="00B057C5" w:rsidP="00DC1165">
            <w:pPr>
              <w:spacing w:before="12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600981" w:rsidRPr="00042D79">
              <w:rPr>
                <w:rFonts w:ascii="Arial" w:hAnsi="Arial" w:cs="Arial"/>
                <w:sz w:val="16"/>
                <w:szCs w:val="16"/>
              </w:rPr>
              <w:t>.2.</w:t>
            </w:r>
          </w:p>
        </w:tc>
        <w:tc>
          <w:tcPr>
            <w:tcW w:w="10357" w:type="dxa"/>
            <w:vAlign w:val="center"/>
          </w:tcPr>
          <w:p w14:paraId="329E8E42" w14:textId="7915C9F5" w:rsidR="00600981" w:rsidRPr="00042D79" w:rsidRDefault="00600981" w:rsidP="00DC1165">
            <w:pPr>
              <w:spacing w:before="120" w:line="276" w:lineRule="auto"/>
              <w:rPr>
                <w:rFonts w:ascii="Arial" w:eastAsia="Arial Regular" w:hAnsi="Arial" w:cs="Arial"/>
                <w:color w:val="222222"/>
                <w:sz w:val="16"/>
                <w:szCs w:val="16"/>
              </w:rPr>
            </w:pPr>
            <w:r w:rsidRPr="00042D79">
              <w:rPr>
                <w:rFonts w:ascii="Arial" w:eastAsia="Arial Regular" w:hAnsi="Arial" w:cs="Arial"/>
                <w:color w:val="222222"/>
                <w:sz w:val="16"/>
                <w:szCs w:val="16"/>
              </w:rPr>
              <w:t>Все споры и разногласия, связанные с участием Клиента в Программе, подлежат рассмотрению в суде в порядке, предусмотренном законодательством Российской Федерации.</w:t>
            </w:r>
          </w:p>
        </w:tc>
      </w:tr>
      <w:tr w:rsidR="00600981" w:rsidRPr="00042D79" w14:paraId="0F58354E" w14:textId="77777777" w:rsidTr="00B53B84">
        <w:trPr>
          <w:trHeight w:val="238"/>
          <w:jc w:val="center"/>
        </w:trPr>
        <w:tc>
          <w:tcPr>
            <w:tcW w:w="734" w:type="dxa"/>
          </w:tcPr>
          <w:p w14:paraId="461F4D5E" w14:textId="4C730AD0" w:rsidR="00600981" w:rsidRPr="00042D79" w:rsidRDefault="00B057C5" w:rsidP="00DC1165">
            <w:pPr>
              <w:spacing w:before="120" w:line="276" w:lineRule="auto"/>
              <w:rPr>
                <w:rFonts w:ascii="Arial" w:hAnsi="Arial" w:cs="Arial"/>
                <w:sz w:val="16"/>
                <w:szCs w:val="16"/>
              </w:rPr>
            </w:pPr>
            <w:r>
              <w:rPr>
                <w:rFonts w:ascii="Arial" w:hAnsi="Arial" w:cs="Arial"/>
                <w:sz w:val="16"/>
                <w:szCs w:val="16"/>
              </w:rPr>
              <w:t>7</w:t>
            </w:r>
            <w:r w:rsidR="00600981" w:rsidRPr="00042D79">
              <w:rPr>
                <w:rFonts w:ascii="Arial" w:hAnsi="Arial" w:cs="Arial"/>
                <w:sz w:val="16"/>
                <w:szCs w:val="16"/>
              </w:rPr>
              <w:t>.3.</w:t>
            </w:r>
          </w:p>
        </w:tc>
        <w:tc>
          <w:tcPr>
            <w:tcW w:w="10357" w:type="dxa"/>
            <w:vAlign w:val="center"/>
          </w:tcPr>
          <w:p w14:paraId="39E7DEB9" w14:textId="5F87236D" w:rsidR="008E6F3A" w:rsidRPr="00042D79" w:rsidRDefault="00600981" w:rsidP="00952939">
            <w:pPr>
              <w:spacing w:before="120" w:line="276" w:lineRule="auto"/>
              <w:rPr>
                <w:rFonts w:ascii="Arial" w:eastAsia="Arial Regular" w:hAnsi="Arial" w:cs="Arial"/>
                <w:color w:val="222222"/>
                <w:sz w:val="16"/>
                <w:szCs w:val="16"/>
              </w:rPr>
            </w:pPr>
            <w:r w:rsidRPr="005E5733">
              <w:rPr>
                <w:rFonts w:ascii="Arial" w:eastAsia="Arial Regular" w:hAnsi="Arial" w:cs="Arial"/>
                <w:sz w:val="16"/>
                <w:szCs w:val="16"/>
              </w:rPr>
              <w:t xml:space="preserve">Настоящие </w:t>
            </w:r>
            <w:r w:rsidRPr="00042D79">
              <w:rPr>
                <w:rFonts w:ascii="Arial" w:eastAsia="Arial Regular" w:hAnsi="Arial" w:cs="Arial"/>
                <w:color w:val="222222"/>
                <w:sz w:val="16"/>
                <w:szCs w:val="16"/>
              </w:rPr>
              <w:t>Правила имеют преимущественную силу в отношении содержания любого иного материала информационного или рекламного характера, касающегося Программы.</w:t>
            </w:r>
          </w:p>
        </w:tc>
      </w:tr>
    </w:tbl>
    <w:p w14:paraId="6FE9AD30" w14:textId="09DBCDFE" w:rsidR="00450D2B" w:rsidRPr="00042D79" w:rsidRDefault="00450D2B" w:rsidP="00952939">
      <w:pPr>
        <w:rPr>
          <w:rFonts w:ascii="Arial" w:hAnsi="Arial" w:cs="Arial"/>
        </w:rPr>
      </w:pPr>
    </w:p>
    <w:sectPr w:rsidR="00450D2B" w:rsidRPr="00042D79" w:rsidSect="009F0B5D">
      <w:footerReference w:type="even" r:id="rId11"/>
      <w:footerReference w:type="default" r:id="rId12"/>
      <w:footerReference w:type="first" r:id="rId13"/>
      <w:pgSz w:w="11906" w:h="16838"/>
      <w:pgMar w:top="993" w:right="850" w:bottom="993" w:left="85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31C87C8C" w14:textId="77777777" w:rsidR="00A30127" w:rsidRDefault="00A30127" w:rsidP="00600981">
      <w:r>
        <w:separator/>
      </w:r>
    </w:p>
  </w:endnote>
  <w:endnote w:type="continuationSeparator" w:id="0">
    <w:p w14:paraId="172A43DF" w14:textId="77777777" w:rsidR="00A30127" w:rsidRDefault="00A30127" w:rsidP="0060098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Arial Regular">
    <w:altName w:val="Arial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Helvetica Neue">
    <w:altName w:val="Sylfaen"/>
    <w:charset w:val="00"/>
    <w:family w:val="auto"/>
    <w:pitch w:val="variable"/>
    <w:sig w:usb0="00000003" w:usb1="500079DB" w:usb2="0000001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Bold">
    <w:altName w:val="Times New Roman"/>
    <w:panose1 w:val="00000000000000000000"/>
    <w:charset w:val="00"/>
    <w:family w:val="roman"/>
    <w:notTrueType/>
    <w:pitch w:val="default"/>
    <w:sig w:usb0="00000203" w:usb1="00000000" w:usb2="00000000" w:usb3="00000000" w:csb0="00000005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a"/>
      </w:rPr>
      <w:id w:val="-1300382714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45D91169" w14:textId="77E24F6B" w:rsidR="00A23F70" w:rsidRDefault="00A23F70" w:rsidP="008665C5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sdt>
    <w:sdtPr>
      <w:rPr>
        <w:rStyle w:val="aa"/>
      </w:rPr>
      <w:id w:val="-1511901961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2ECE95B6" w14:textId="5C36CCD0" w:rsidR="00A23F70" w:rsidRDefault="00A23F70" w:rsidP="00600981">
        <w:pPr>
          <w:pStyle w:val="a8"/>
          <w:framePr w:wrap="none" w:vAnchor="text" w:hAnchor="margin" w:xAlign="right" w:y="1"/>
          <w:ind w:right="360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end"/>
        </w:r>
      </w:p>
    </w:sdtContent>
  </w:sdt>
  <w:p w14:paraId="2734C74D" w14:textId="77777777" w:rsidR="00A23F70" w:rsidRDefault="00A23F70" w:rsidP="00600981">
    <w:pPr>
      <w:pStyle w:val="a8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aa"/>
      </w:rPr>
      <w:id w:val="906421787"/>
      <w:docPartObj>
        <w:docPartGallery w:val="Page Numbers (Bottom of Page)"/>
        <w:docPartUnique/>
      </w:docPartObj>
    </w:sdtPr>
    <w:sdtEndPr>
      <w:rPr>
        <w:rStyle w:val="aa"/>
      </w:rPr>
    </w:sdtEndPr>
    <w:sdtContent>
      <w:p w14:paraId="4744EC65" w14:textId="6732B145" w:rsidR="00A23F70" w:rsidRDefault="00A23F70" w:rsidP="008665C5">
        <w:pPr>
          <w:pStyle w:val="a8"/>
          <w:framePr w:wrap="none" w:vAnchor="text" w:hAnchor="margin" w:xAlign="right" w:y="1"/>
          <w:rPr>
            <w:rStyle w:val="aa"/>
          </w:rPr>
        </w:pPr>
        <w:r>
          <w:rPr>
            <w:rStyle w:val="aa"/>
          </w:rPr>
          <w:fldChar w:fldCharType="begin"/>
        </w:r>
        <w:r>
          <w:rPr>
            <w:rStyle w:val="aa"/>
          </w:rPr>
          <w:instrText xml:space="preserve"> PAGE </w:instrText>
        </w:r>
        <w:r>
          <w:rPr>
            <w:rStyle w:val="aa"/>
          </w:rPr>
          <w:fldChar w:fldCharType="separate"/>
        </w:r>
        <w:r w:rsidR="0029619B">
          <w:rPr>
            <w:rStyle w:val="aa"/>
            <w:noProof/>
          </w:rPr>
          <w:t>4</w:t>
        </w:r>
        <w:r>
          <w:rPr>
            <w:rStyle w:val="aa"/>
          </w:rPr>
          <w:fldChar w:fldCharType="end"/>
        </w:r>
      </w:p>
    </w:sdtContent>
  </w:sdt>
  <w:p w14:paraId="2DF3A6D1" w14:textId="423CB95B" w:rsidR="00A23F70" w:rsidRPr="00600981" w:rsidRDefault="00A23F70" w:rsidP="00600981">
    <w:pPr>
      <w:pStyle w:val="a8"/>
      <w:ind w:left="720" w:right="360"/>
      <w:rPr>
        <w:rFonts w:ascii="Arial" w:hAnsi="Arial"/>
        <w:color w:val="595959" w:themeColor="text1" w:themeTint="A6"/>
      </w:rPr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142276A" w14:textId="392FC308" w:rsidR="00A23F70" w:rsidRPr="00600981" w:rsidRDefault="00A23F70" w:rsidP="00600981">
    <w:pPr>
      <w:pStyle w:val="a8"/>
      <w:tabs>
        <w:tab w:val="clear" w:pos="4677"/>
        <w:tab w:val="clear" w:pos="9355"/>
      </w:tabs>
      <w:ind w:right="360"/>
      <w:rPr>
        <w:color w:val="595959" w:themeColor="text1" w:themeTint="A6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5C831F5" w14:textId="77777777" w:rsidR="00A30127" w:rsidRDefault="00A30127" w:rsidP="00600981">
      <w:r>
        <w:separator/>
      </w:r>
    </w:p>
  </w:footnote>
  <w:footnote w:type="continuationSeparator" w:id="0">
    <w:p w14:paraId="31455294" w14:textId="77777777" w:rsidR="00A30127" w:rsidRDefault="00A30127" w:rsidP="00600981">
      <w:r>
        <w:continuationSeparator/>
      </w:r>
    </w:p>
  </w:footnote>
  <w:footnote w:id="1">
    <w:p w14:paraId="03CF5648" w14:textId="6825D0A1" w:rsidR="00754A39" w:rsidRPr="00DC2CAB" w:rsidRDefault="00A23F70" w:rsidP="00754A39">
      <w:pPr>
        <w:pStyle w:val="a4"/>
        <w:spacing w:line="276" w:lineRule="auto"/>
        <w:rPr>
          <w:color w:val="7F7F7F" w:themeColor="text1" w:themeTint="80"/>
          <w:sz w:val="12"/>
          <w:szCs w:val="12"/>
        </w:rPr>
      </w:pPr>
      <w:r w:rsidRPr="00270703">
        <w:rPr>
          <w:rStyle w:val="af5"/>
        </w:rPr>
        <w:footnoteRef/>
      </w:r>
      <w:r w:rsidRPr="00DC1165">
        <w:t xml:space="preserve"> </w:t>
      </w:r>
      <w:r w:rsidR="00E722B1">
        <w:rPr>
          <w:rFonts w:ascii="Arial" w:eastAsia="Arial Regular" w:hAnsi="Arial" w:cs="Arial"/>
          <w:color w:val="7F7F7F" w:themeColor="text1" w:themeTint="80"/>
          <w:sz w:val="13"/>
          <w:szCs w:val="13"/>
        </w:rPr>
        <w:t>В программе участвуют  К</w:t>
      </w:r>
      <w:r w:rsidRPr="00DC2CAB">
        <w:rPr>
          <w:rFonts w:ascii="Arial" w:eastAsia="Arial Regular" w:hAnsi="Arial" w:cs="Arial"/>
          <w:color w:val="7F7F7F" w:themeColor="text1" w:themeTint="80"/>
          <w:sz w:val="13"/>
          <w:szCs w:val="13"/>
        </w:rPr>
        <w:t xml:space="preserve">арты </w:t>
      </w:r>
      <w:r w:rsidR="00E722B1">
        <w:rPr>
          <w:rFonts w:ascii="Arial" w:eastAsia="Arial Regular" w:hAnsi="Arial" w:cs="Arial"/>
          <w:color w:val="7F7F7F" w:themeColor="text1" w:themeTint="80"/>
          <w:sz w:val="13"/>
          <w:szCs w:val="13"/>
        </w:rPr>
        <w:t xml:space="preserve">с лимитом овердрафт </w:t>
      </w:r>
      <w:r w:rsidRPr="00DC2CAB">
        <w:rPr>
          <w:rFonts w:ascii="Arial" w:eastAsia="Arial Regular" w:hAnsi="Arial" w:cs="Arial"/>
          <w:color w:val="7F7F7F" w:themeColor="text1" w:themeTint="80"/>
          <w:sz w:val="13"/>
          <w:szCs w:val="13"/>
        </w:rPr>
        <w:t xml:space="preserve">с кодами </w:t>
      </w:r>
      <w:r w:rsidR="00E722B1">
        <w:rPr>
          <w:rFonts w:ascii="Arial" w:eastAsia="Arial Regular" w:hAnsi="Arial" w:cs="Arial"/>
          <w:color w:val="7F7F7F" w:themeColor="text1" w:themeTint="80"/>
          <w:sz w:val="13"/>
          <w:szCs w:val="13"/>
        </w:rPr>
        <w:t>Т</w:t>
      </w:r>
      <w:r w:rsidRPr="00DC2CAB">
        <w:rPr>
          <w:rFonts w:ascii="Arial" w:eastAsia="Arial Regular" w:hAnsi="Arial" w:cs="Arial"/>
          <w:color w:val="7F7F7F" w:themeColor="text1" w:themeTint="80"/>
          <w:sz w:val="13"/>
          <w:szCs w:val="13"/>
        </w:rPr>
        <w:t>арифов:</w:t>
      </w:r>
      <w:r w:rsidR="00E722B1" w:rsidRPr="00E722B1">
        <w:rPr>
          <w:color w:val="000000"/>
          <w:sz w:val="10"/>
          <w:szCs w:val="10"/>
          <w:lang w:val="en-US"/>
        </w:rPr>
        <w:t xml:space="preserve"> </w:t>
      </w:r>
      <w:r w:rsidR="00F10120" w:rsidRPr="00F10120">
        <w:rPr>
          <w:rFonts w:ascii="Arial" w:hAnsi="Arial" w:cs="Arial"/>
          <w:bCs/>
          <w:color w:val="808080" w:themeColor="background1" w:themeShade="80"/>
          <w:sz w:val="12"/>
          <w:szCs w:val="12"/>
          <w:lang w:val="en-US"/>
        </w:rPr>
        <w:t>KR_KR_MM_IC_20, KR_MLPOS_MW_IC_06, KR_POS_MW_IC_15, KR_PP_MM_R_24_1, KR_PP_MM_R_24_1R, KR_PP_MM_R_24_1N, KR_PP_MM_R_24_1U, KR_PP_MM_R_24_1Q, KR_PP_MP_R_17_16, KR_PP_MP_R_17_16U, KR_PP_MP_R_17_16Q, KR_PP_MP_R_17_16R, KR_PP_MM_R_24_1V, KR_KR_MS_IC_14V, KR_KR_MS_IC_14, KR_KR_MS_IC_14R, KR_KR_MS_IC_15V, KR_KR_MS_IC_15, KR_KR_MS_IC_15R, KR_KR_MS_R_IC_4, KR_KR_MS_R_IC_4R, KR_KR_MS_R_IC_4V, KR_KR_MS_R_IC_5, KR_KR_MS_R_IC_5R, KR_KR_MS_R_IC_5V</w:t>
      </w:r>
    </w:p>
    <w:p w14:paraId="65F02CE2" w14:textId="34B20480" w:rsidR="00754A39" w:rsidRPr="00754A39" w:rsidRDefault="00754A39" w:rsidP="00754A39">
      <w:pPr>
        <w:pStyle w:val="a4"/>
        <w:spacing w:line="276" w:lineRule="auto"/>
        <w:rPr>
          <w:rFonts w:ascii="Arial" w:hAnsi="Arial" w:cs="Arial"/>
          <w:bCs/>
          <w:color w:val="808080" w:themeColor="background1" w:themeShade="80"/>
          <w:sz w:val="12"/>
          <w:szCs w:val="12"/>
          <w:lang w:val="en-US"/>
        </w:rPr>
      </w:pPr>
    </w:p>
    <w:p w14:paraId="30904F1D" w14:textId="78663FEE" w:rsidR="00E722B1" w:rsidRPr="00754A39" w:rsidRDefault="00E722B1" w:rsidP="00E722B1">
      <w:pPr>
        <w:jc w:val="both"/>
        <w:rPr>
          <w:rFonts w:ascii="Times New Roman" w:eastAsia="Arial Regular" w:hAnsi="Times New Roman" w:cs="Times New Roman"/>
          <w:sz w:val="8"/>
          <w:szCs w:val="8"/>
          <w:vertAlign w:val="superscript"/>
          <w:lang w:val="en-US"/>
        </w:rPr>
      </w:pPr>
    </w:p>
    <w:p w14:paraId="14B7E554" w14:textId="629D0F35" w:rsidR="00754A39" w:rsidRPr="00271F13" w:rsidRDefault="00A23F70" w:rsidP="00754A39">
      <w:pPr>
        <w:pStyle w:val="a4"/>
        <w:spacing w:line="276" w:lineRule="auto"/>
        <w:rPr>
          <w:color w:val="7F7F7F" w:themeColor="text1" w:themeTint="80"/>
          <w:sz w:val="12"/>
          <w:szCs w:val="12"/>
          <w:lang w:val="en-US"/>
        </w:rPr>
      </w:pPr>
      <w:r w:rsidRPr="00754A39">
        <w:rPr>
          <w:rFonts w:ascii="Arial" w:eastAsia="Arial Regular" w:hAnsi="Arial" w:cs="Arial"/>
          <w:color w:val="7F7F7F" w:themeColor="text1" w:themeTint="80"/>
          <w:sz w:val="13"/>
          <w:szCs w:val="13"/>
          <w:lang w:val="en-US"/>
        </w:rPr>
        <w:t xml:space="preserve"> </w:t>
      </w:r>
      <w:r w:rsidR="00AB459F" w:rsidRPr="00270703">
        <w:rPr>
          <w:rStyle w:val="af5"/>
        </w:rPr>
        <w:footnoteRef/>
      </w:r>
      <w:r w:rsidR="00AB459F" w:rsidRPr="00271F13">
        <w:rPr>
          <w:lang w:val="en-US"/>
        </w:rPr>
        <w:t xml:space="preserve"> </w:t>
      </w:r>
      <w:r w:rsidR="00AB459F">
        <w:rPr>
          <w:rFonts w:ascii="Arial" w:eastAsia="Arial Regular" w:hAnsi="Arial" w:cs="Arial"/>
          <w:color w:val="7F7F7F" w:themeColor="text1" w:themeTint="80"/>
          <w:sz w:val="13"/>
          <w:szCs w:val="13"/>
        </w:rPr>
        <w:t>В</w:t>
      </w:r>
      <w:r w:rsidR="00AB459F" w:rsidRPr="00271F13">
        <w:rPr>
          <w:rFonts w:ascii="Arial" w:eastAsia="Arial Regular" w:hAnsi="Arial" w:cs="Arial"/>
          <w:color w:val="7F7F7F" w:themeColor="text1" w:themeTint="80"/>
          <w:sz w:val="13"/>
          <w:szCs w:val="13"/>
          <w:lang w:val="en-US"/>
        </w:rPr>
        <w:t xml:space="preserve"> </w:t>
      </w:r>
      <w:r w:rsidR="00AB459F">
        <w:rPr>
          <w:rFonts w:ascii="Arial" w:eastAsia="Arial Regular" w:hAnsi="Arial" w:cs="Arial"/>
          <w:color w:val="7F7F7F" w:themeColor="text1" w:themeTint="80"/>
          <w:sz w:val="13"/>
          <w:szCs w:val="13"/>
        </w:rPr>
        <w:t>программе</w:t>
      </w:r>
      <w:r w:rsidR="00AB459F" w:rsidRPr="00271F13">
        <w:rPr>
          <w:rFonts w:ascii="Arial" w:eastAsia="Arial Regular" w:hAnsi="Arial" w:cs="Arial"/>
          <w:color w:val="7F7F7F" w:themeColor="text1" w:themeTint="80"/>
          <w:sz w:val="13"/>
          <w:szCs w:val="13"/>
          <w:lang w:val="en-US"/>
        </w:rPr>
        <w:t xml:space="preserve"> </w:t>
      </w:r>
      <w:r w:rsidR="00AB459F">
        <w:rPr>
          <w:rFonts w:ascii="Arial" w:eastAsia="Arial Regular" w:hAnsi="Arial" w:cs="Arial"/>
          <w:color w:val="7F7F7F" w:themeColor="text1" w:themeTint="80"/>
          <w:sz w:val="13"/>
          <w:szCs w:val="13"/>
        </w:rPr>
        <w:t>участвуют</w:t>
      </w:r>
      <w:r w:rsidR="00AB459F" w:rsidRPr="00271F13">
        <w:rPr>
          <w:rFonts w:ascii="Arial" w:eastAsia="Arial Regular" w:hAnsi="Arial" w:cs="Arial"/>
          <w:color w:val="7F7F7F" w:themeColor="text1" w:themeTint="80"/>
          <w:sz w:val="13"/>
          <w:szCs w:val="13"/>
          <w:lang w:val="en-US"/>
        </w:rPr>
        <w:t xml:space="preserve">  </w:t>
      </w:r>
      <w:r w:rsidR="00AB459F">
        <w:rPr>
          <w:rFonts w:ascii="Arial" w:eastAsia="Arial Regular" w:hAnsi="Arial" w:cs="Arial"/>
          <w:color w:val="7F7F7F" w:themeColor="text1" w:themeTint="80"/>
          <w:sz w:val="13"/>
          <w:szCs w:val="13"/>
        </w:rPr>
        <w:t>К</w:t>
      </w:r>
      <w:r w:rsidR="00AB459F" w:rsidRPr="00DC2CAB">
        <w:rPr>
          <w:rFonts w:ascii="Arial" w:eastAsia="Arial Regular" w:hAnsi="Arial" w:cs="Arial"/>
          <w:color w:val="7F7F7F" w:themeColor="text1" w:themeTint="80"/>
          <w:sz w:val="13"/>
          <w:szCs w:val="13"/>
        </w:rPr>
        <w:t>арты</w:t>
      </w:r>
      <w:r w:rsidR="00AB459F" w:rsidRPr="00271F13">
        <w:rPr>
          <w:rFonts w:ascii="Arial" w:eastAsia="Arial Regular" w:hAnsi="Arial" w:cs="Arial"/>
          <w:color w:val="7F7F7F" w:themeColor="text1" w:themeTint="80"/>
          <w:sz w:val="13"/>
          <w:szCs w:val="13"/>
          <w:lang w:val="en-US"/>
        </w:rPr>
        <w:t xml:space="preserve"> </w:t>
      </w:r>
      <w:r w:rsidR="00AB459F">
        <w:rPr>
          <w:rFonts w:ascii="Arial" w:eastAsia="Arial Regular" w:hAnsi="Arial" w:cs="Arial"/>
          <w:color w:val="7F7F7F" w:themeColor="text1" w:themeTint="80"/>
          <w:sz w:val="13"/>
          <w:szCs w:val="13"/>
        </w:rPr>
        <w:t>с</w:t>
      </w:r>
      <w:r w:rsidR="00AB459F" w:rsidRPr="00271F13">
        <w:rPr>
          <w:rFonts w:ascii="Arial" w:eastAsia="Arial Regular" w:hAnsi="Arial" w:cs="Arial"/>
          <w:color w:val="7F7F7F" w:themeColor="text1" w:themeTint="80"/>
          <w:sz w:val="13"/>
          <w:szCs w:val="13"/>
          <w:lang w:val="en-US"/>
        </w:rPr>
        <w:t xml:space="preserve"> </w:t>
      </w:r>
      <w:r w:rsidR="00AB459F">
        <w:rPr>
          <w:rFonts w:ascii="Arial" w:eastAsia="Arial Regular" w:hAnsi="Arial" w:cs="Arial"/>
          <w:color w:val="7F7F7F" w:themeColor="text1" w:themeTint="80"/>
          <w:sz w:val="13"/>
          <w:szCs w:val="13"/>
        </w:rPr>
        <w:t>лимитом</w:t>
      </w:r>
      <w:r w:rsidR="00AB459F" w:rsidRPr="00271F13">
        <w:rPr>
          <w:rFonts w:ascii="Arial" w:eastAsia="Arial Regular" w:hAnsi="Arial" w:cs="Arial"/>
          <w:color w:val="7F7F7F" w:themeColor="text1" w:themeTint="80"/>
          <w:sz w:val="13"/>
          <w:szCs w:val="13"/>
          <w:lang w:val="en-US"/>
        </w:rPr>
        <w:t xml:space="preserve"> </w:t>
      </w:r>
      <w:r w:rsidR="00AB459F">
        <w:rPr>
          <w:rFonts w:ascii="Arial" w:eastAsia="Arial Regular" w:hAnsi="Arial" w:cs="Arial"/>
          <w:color w:val="7F7F7F" w:themeColor="text1" w:themeTint="80"/>
          <w:sz w:val="13"/>
          <w:szCs w:val="13"/>
        </w:rPr>
        <w:t>овердрафт</w:t>
      </w:r>
      <w:r w:rsidR="00AB459F" w:rsidRPr="00271F13">
        <w:rPr>
          <w:rFonts w:ascii="Arial" w:eastAsia="Arial Regular" w:hAnsi="Arial" w:cs="Arial"/>
          <w:color w:val="7F7F7F" w:themeColor="text1" w:themeTint="80"/>
          <w:sz w:val="13"/>
          <w:szCs w:val="13"/>
          <w:lang w:val="en-US"/>
        </w:rPr>
        <w:t xml:space="preserve"> </w:t>
      </w:r>
      <w:r w:rsidR="00AB459F" w:rsidRPr="00DC2CAB">
        <w:rPr>
          <w:rFonts w:ascii="Arial" w:eastAsia="Arial Regular" w:hAnsi="Arial" w:cs="Arial"/>
          <w:color w:val="7F7F7F" w:themeColor="text1" w:themeTint="80"/>
          <w:sz w:val="13"/>
          <w:szCs w:val="13"/>
        </w:rPr>
        <w:t>с</w:t>
      </w:r>
      <w:r w:rsidR="00AB459F" w:rsidRPr="00271F13">
        <w:rPr>
          <w:rFonts w:ascii="Arial" w:eastAsia="Arial Regular" w:hAnsi="Arial" w:cs="Arial"/>
          <w:color w:val="7F7F7F" w:themeColor="text1" w:themeTint="80"/>
          <w:sz w:val="13"/>
          <w:szCs w:val="13"/>
          <w:lang w:val="en-US"/>
        </w:rPr>
        <w:t xml:space="preserve"> </w:t>
      </w:r>
      <w:r w:rsidR="00AB459F" w:rsidRPr="00DC2CAB">
        <w:rPr>
          <w:rFonts w:ascii="Arial" w:eastAsia="Arial Regular" w:hAnsi="Arial" w:cs="Arial"/>
          <w:color w:val="7F7F7F" w:themeColor="text1" w:themeTint="80"/>
          <w:sz w:val="13"/>
          <w:szCs w:val="13"/>
        </w:rPr>
        <w:t>кодами</w:t>
      </w:r>
      <w:r w:rsidR="00AB459F" w:rsidRPr="00271F13">
        <w:rPr>
          <w:rFonts w:ascii="Arial" w:eastAsia="Arial Regular" w:hAnsi="Arial" w:cs="Arial"/>
          <w:color w:val="7F7F7F" w:themeColor="text1" w:themeTint="80"/>
          <w:sz w:val="13"/>
          <w:szCs w:val="13"/>
          <w:lang w:val="en-US"/>
        </w:rPr>
        <w:t xml:space="preserve"> </w:t>
      </w:r>
      <w:r w:rsidR="00AB459F">
        <w:rPr>
          <w:rFonts w:ascii="Arial" w:eastAsia="Arial Regular" w:hAnsi="Arial" w:cs="Arial"/>
          <w:color w:val="7F7F7F" w:themeColor="text1" w:themeTint="80"/>
          <w:sz w:val="13"/>
          <w:szCs w:val="13"/>
        </w:rPr>
        <w:t>Т</w:t>
      </w:r>
      <w:r w:rsidR="00AB459F" w:rsidRPr="00DC2CAB">
        <w:rPr>
          <w:rFonts w:ascii="Arial" w:eastAsia="Arial Regular" w:hAnsi="Arial" w:cs="Arial"/>
          <w:color w:val="7F7F7F" w:themeColor="text1" w:themeTint="80"/>
          <w:sz w:val="13"/>
          <w:szCs w:val="13"/>
        </w:rPr>
        <w:t>арифов</w:t>
      </w:r>
      <w:r w:rsidR="00AB459F" w:rsidRPr="00271F13">
        <w:rPr>
          <w:rFonts w:ascii="Arial" w:eastAsia="Arial Regular" w:hAnsi="Arial" w:cs="Arial"/>
          <w:color w:val="7F7F7F" w:themeColor="text1" w:themeTint="80"/>
          <w:sz w:val="13"/>
          <w:szCs w:val="13"/>
          <w:lang w:val="en-US"/>
        </w:rPr>
        <w:t>:</w:t>
      </w:r>
      <w:r w:rsidR="00AB459F" w:rsidRPr="00271F13">
        <w:rPr>
          <w:color w:val="000000"/>
          <w:sz w:val="10"/>
          <w:szCs w:val="10"/>
          <w:lang w:val="en-US"/>
        </w:rPr>
        <w:t xml:space="preserve"> </w:t>
      </w:r>
      <w:r w:rsidR="00F10120" w:rsidRPr="00F10120">
        <w:rPr>
          <w:rFonts w:ascii="Arial" w:hAnsi="Arial" w:cs="Arial"/>
          <w:bCs/>
          <w:color w:val="808080" w:themeColor="background1" w:themeShade="80"/>
          <w:sz w:val="12"/>
          <w:szCs w:val="12"/>
          <w:lang w:val="en-US"/>
        </w:rPr>
        <w:t>KR_KR_MM_IC_20, KR_MLPOS_MW_IC_06, KR_POS_MW_IC_15, KR_PP_MM_R_24_1, KR_PP_MM_R_24_1R, KR_PP_MM_R_24_1N, KR_PP_MM_R_24_1U, KR_PP_MM_R_24_1Q, KR_PP_MP_R_17_16, KR_PP_MP_R_17_16U, KR_PP_MP_R_17_16Q, KR_PP_MP_R_17_16R, KR_PP_MM_R_24_1V, KR_KR_MS_IC_14V, KR_KR_MS_IC_14, KR_KR_MS_IC_14R, KR_KR_MS_IC_15V, KR_KR_MS_IC_15, KR_KR_MS_IC_15R, KR_KR_MS_R_IC_4, KR_KR_MS_R_IC_4R, KR_KR_MS_R_IC_4V, KR_KR_MS_R_IC_5, KR_KR_MS_R_IC_5R, KR_KR_MS_R_IC_5V</w:t>
      </w:r>
    </w:p>
    <w:p w14:paraId="4FCB94BF" w14:textId="491FFA3D" w:rsidR="00AB459F" w:rsidRPr="00271F13" w:rsidRDefault="00AB459F" w:rsidP="00AB459F">
      <w:pPr>
        <w:jc w:val="both"/>
        <w:rPr>
          <w:rFonts w:ascii="Times New Roman" w:eastAsia="Arial Regular" w:hAnsi="Times New Roman" w:cs="Times New Roman"/>
          <w:sz w:val="8"/>
          <w:szCs w:val="8"/>
          <w:vertAlign w:val="superscript"/>
          <w:lang w:val="en-US"/>
        </w:rPr>
      </w:pPr>
    </w:p>
    <w:p w14:paraId="66284028" w14:textId="7524D813" w:rsidR="00A23F70" w:rsidRPr="00271F13" w:rsidRDefault="00A23F70" w:rsidP="009F0B5D">
      <w:pPr>
        <w:pStyle w:val="a4"/>
        <w:spacing w:line="276" w:lineRule="auto"/>
        <w:rPr>
          <w:color w:val="7F7F7F" w:themeColor="text1" w:themeTint="80"/>
          <w:sz w:val="12"/>
          <w:szCs w:val="12"/>
          <w:lang w:val="en-US"/>
        </w:rPr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2FB7399"/>
    <w:multiLevelType w:val="hybridMultilevel"/>
    <w:tmpl w:val="5484CE92"/>
    <w:lvl w:ilvl="0" w:tplc="FFFFFFFF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6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FFFFFFFF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76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FFFFFFFF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936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FFFFFFFF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296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FFFFFFFF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656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FFFFFFFF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016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FFFFFFFF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376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FFFFFFFF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736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FFFFFFFF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096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1" w15:restartNumberingAfterBreak="0">
    <w:nsid w:val="080E3270"/>
    <w:multiLevelType w:val="hybridMultilevel"/>
    <w:tmpl w:val="5484CE92"/>
    <w:lvl w:ilvl="0" w:tplc="322AE7BA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6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672EA5BA">
      <w:start w:val="1"/>
      <w:numFmt w:val="decimal"/>
      <w:lvlText w:val="%2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576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2" w:tplc="5BE0FD3C">
      <w:start w:val="1"/>
      <w:numFmt w:val="decimal"/>
      <w:lvlText w:val="%3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936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3" w:tplc="75F6F042">
      <w:start w:val="1"/>
      <w:numFmt w:val="decimal"/>
      <w:lvlText w:val="%4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296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4" w:tplc="9CA611EA">
      <w:start w:val="1"/>
      <w:numFmt w:val="decimal"/>
      <w:lvlText w:val="%5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1656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5" w:tplc="9334B18E">
      <w:start w:val="1"/>
      <w:numFmt w:val="decimal"/>
      <w:lvlText w:val="%6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016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6" w:tplc="4716A0E6">
      <w:start w:val="1"/>
      <w:numFmt w:val="decimal"/>
      <w:lvlText w:val="%7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376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7" w:tplc="46CC8D5A">
      <w:start w:val="1"/>
      <w:numFmt w:val="decimal"/>
      <w:lvlText w:val="%8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736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8" w:tplc="3810389C">
      <w:start w:val="1"/>
      <w:numFmt w:val="decimal"/>
      <w:lvlText w:val="%9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3096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</w:abstractNum>
  <w:abstractNum w:abstractNumId="2" w15:restartNumberingAfterBreak="0">
    <w:nsid w:val="08F83E59"/>
    <w:multiLevelType w:val="multilevel"/>
    <w:tmpl w:val="C49C23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502" w:hanging="36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3" w15:restartNumberingAfterBreak="0">
    <w:nsid w:val="09A770B8"/>
    <w:multiLevelType w:val="hybridMultilevel"/>
    <w:tmpl w:val="031A6EFC"/>
    <w:lvl w:ilvl="0" w:tplc="252084C2">
      <w:start w:val="1"/>
      <w:numFmt w:val="decimal"/>
      <w:lvlText w:val="%1."/>
      <w:lvlJc w:val="left"/>
      <w:pPr>
        <w:ind w:left="720" w:hanging="360"/>
      </w:pPr>
      <w:rPr>
        <w:rFonts w:hint="default"/>
        <w:sz w:val="13"/>
        <w:szCs w:val="13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A7F62D9"/>
    <w:multiLevelType w:val="hybridMultilevel"/>
    <w:tmpl w:val="031A6EFC"/>
    <w:lvl w:ilvl="0" w:tplc="FFFFFFFF">
      <w:start w:val="1"/>
      <w:numFmt w:val="decimal"/>
      <w:lvlText w:val="%1."/>
      <w:lvlJc w:val="left"/>
      <w:pPr>
        <w:ind w:left="720" w:hanging="360"/>
      </w:pPr>
      <w:rPr>
        <w:rFonts w:hint="default"/>
        <w:sz w:val="13"/>
        <w:szCs w:val="13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8425A25"/>
    <w:multiLevelType w:val="multilevel"/>
    <w:tmpl w:val="0419001F"/>
    <w:styleLink w:val="1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6" w15:restartNumberingAfterBreak="0">
    <w:nsid w:val="2153177D"/>
    <w:multiLevelType w:val="multilevel"/>
    <w:tmpl w:val="C49C23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502" w:hanging="36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7" w15:restartNumberingAfterBreak="0">
    <w:nsid w:val="29235DA3"/>
    <w:multiLevelType w:val="hybridMultilevel"/>
    <w:tmpl w:val="102A7FD0"/>
    <w:lvl w:ilvl="0" w:tplc="FFFFFFFF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6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09740B0"/>
    <w:multiLevelType w:val="hybridMultilevel"/>
    <w:tmpl w:val="C28ACF08"/>
    <w:lvl w:ilvl="0" w:tplc="FFFFFFFF">
      <w:start w:val="1"/>
      <w:numFmt w:val="decimal"/>
      <w:lvlText w:val="%1."/>
      <w:lvlJc w:val="left"/>
      <w:pPr>
        <w:tabs>
          <w:tab w:val="left" w:pos="708"/>
          <w:tab w:val="left" w:pos="1416"/>
          <w:tab w:val="left" w:pos="2124"/>
          <w:tab w:val="left" w:pos="2832"/>
          <w:tab w:val="left" w:pos="3540"/>
          <w:tab w:val="left" w:pos="4248"/>
          <w:tab w:val="left" w:pos="4956"/>
          <w:tab w:val="left" w:pos="5664"/>
          <w:tab w:val="left" w:pos="6372"/>
          <w:tab w:val="left" w:pos="7080"/>
          <w:tab w:val="left" w:pos="7788"/>
          <w:tab w:val="left" w:pos="8496"/>
          <w:tab w:val="left" w:pos="9204"/>
          <w:tab w:val="left" w:pos="9912"/>
          <w:tab w:val="left" w:pos="10620"/>
        </w:tabs>
        <w:ind w:left="216" w:hanging="216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  <w14:shadow w14:blurRad="0" w14:dist="0" w14:dir="0" w14:sx="0" w14:sy="0" w14:kx="0" w14:ky="0" w14:algn="none">
          <w14:srgbClr w14:val="000000"/>
        </w14:shadow>
        <w14:textOutline w14:w="0" w14:cap="rnd" w14:cmpd="sng" w14:algn="ctr">
          <w14:noFill/>
          <w14:prstDash w14:val="solid"/>
          <w14:bevel/>
        </w14:textOutline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322040E3"/>
    <w:multiLevelType w:val="hybridMultilevel"/>
    <w:tmpl w:val="F9E0C512"/>
    <w:lvl w:ilvl="0" w:tplc="DE38C840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  <w:b w:val="0"/>
        <w:bCs w:val="0"/>
        <w:i w:val="0"/>
        <w:iCs w:val="0"/>
        <w:color w:val="70BC79"/>
        <w:w w:val="100"/>
        <w:sz w:val="15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33DD57F7"/>
    <w:multiLevelType w:val="multilevel"/>
    <w:tmpl w:val="C49C23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927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502" w:hanging="36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1" w15:restartNumberingAfterBreak="0">
    <w:nsid w:val="36F16985"/>
    <w:multiLevelType w:val="multilevel"/>
    <w:tmpl w:val="C49C23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502" w:hanging="36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2" w15:restartNumberingAfterBreak="0">
    <w:nsid w:val="3817035E"/>
    <w:multiLevelType w:val="multilevel"/>
    <w:tmpl w:val="C49C23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502" w:hanging="36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3" w15:restartNumberingAfterBreak="0">
    <w:nsid w:val="49C85313"/>
    <w:multiLevelType w:val="multilevel"/>
    <w:tmpl w:val="C49C238C"/>
    <w:lvl w:ilvl="0">
      <w:start w:val="1"/>
      <w:numFmt w:val="decimal"/>
      <w:lvlText w:val="%1."/>
      <w:lvlJc w:val="left"/>
      <w:pPr>
        <w:ind w:left="720" w:hanging="360"/>
      </w:pPr>
      <w:rPr>
        <w:rFonts w:ascii="Times New Roman" w:eastAsia="Times New Roman" w:hAnsi="Times New Roman" w:cs="Times New Roman"/>
        <w:b/>
      </w:rPr>
    </w:lvl>
    <w:lvl w:ilvl="1">
      <w:start w:val="1"/>
      <w:numFmt w:val="decimal"/>
      <w:isLgl/>
      <w:lvlText w:val="%1.%2."/>
      <w:lvlJc w:val="left"/>
      <w:pPr>
        <w:ind w:left="720" w:hanging="36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ind w:left="502" w:hanging="360"/>
      </w:pPr>
      <w:rPr>
        <w:rFonts w:hint="default"/>
        <w:b w:val="0"/>
        <w:color w:val="000000" w:themeColor="text1"/>
      </w:rPr>
    </w:lvl>
    <w:lvl w:ilvl="3">
      <w:start w:val="1"/>
      <w:numFmt w:val="decimal"/>
      <w:isLgl/>
      <w:lvlText w:val="%1.%2.%3.%4."/>
      <w:lvlJc w:val="left"/>
      <w:pPr>
        <w:ind w:left="108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080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080" w:hanging="72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440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440" w:hanging="108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440" w:hanging="1080"/>
      </w:pPr>
      <w:rPr>
        <w:rFonts w:hint="default"/>
      </w:rPr>
    </w:lvl>
  </w:abstractNum>
  <w:abstractNum w:abstractNumId="14" w15:restartNumberingAfterBreak="0">
    <w:nsid w:val="4C9063ED"/>
    <w:multiLevelType w:val="hybridMultilevel"/>
    <w:tmpl w:val="6C4881DC"/>
    <w:lvl w:ilvl="0" w:tplc="50DEE0FA">
      <w:start w:val="1"/>
      <w:numFmt w:val="decimal"/>
      <w:lvlText w:val="%1."/>
      <w:lvlJc w:val="left"/>
      <w:pPr>
        <w:ind w:left="576" w:hanging="360"/>
      </w:pPr>
      <w:rPr>
        <w:rFonts w:ascii="Arial" w:eastAsia="Arial Regular" w:hAnsi="Arial" w:cs="Arial" w:hint="default"/>
        <w:sz w:val="12"/>
      </w:rPr>
    </w:lvl>
    <w:lvl w:ilvl="1" w:tplc="04190019" w:tentative="1">
      <w:start w:val="1"/>
      <w:numFmt w:val="lowerLetter"/>
      <w:lvlText w:val="%2."/>
      <w:lvlJc w:val="left"/>
      <w:pPr>
        <w:ind w:left="1296" w:hanging="360"/>
      </w:pPr>
    </w:lvl>
    <w:lvl w:ilvl="2" w:tplc="0419001B" w:tentative="1">
      <w:start w:val="1"/>
      <w:numFmt w:val="lowerRoman"/>
      <w:lvlText w:val="%3."/>
      <w:lvlJc w:val="right"/>
      <w:pPr>
        <w:ind w:left="2016" w:hanging="180"/>
      </w:pPr>
    </w:lvl>
    <w:lvl w:ilvl="3" w:tplc="0419000F" w:tentative="1">
      <w:start w:val="1"/>
      <w:numFmt w:val="decimal"/>
      <w:lvlText w:val="%4."/>
      <w:lvlJc w:val="left"/>
      <w:pPr>
        <w:ind w:left="2736" w:hanging="360"/>
      </w:pPr>
    </w:lvl>
    <w:lvl w:ilvl="4" w:tplc="04190019" w:tentative="1">
      <w:start w:val="1"/>
      <w:numFmt w:val="lowerLetter"/>
      <w:lvlText w:val="%5."/>
      <w:lvlJc w:val="left"/>
      <w:pPr>
        <w:ind w:left="3456" w:hanging="360"/>
      </w:pPr>
    </w:lvl>
    <w:lvl w:ilvl="5" w:tplc="0419001B" w:tentative="1">
      <w:start w:val="1"/>
      <w:numFmt w:val="lowerRoman"/>
      <w:lvlText w:val="%6."/>
      <w:lvlJc w:val="right"/>
      <w:pPr>
        <w:ind w:left="4176" w:hanging="180"/>
      </w:pPr>
    </w:lvl>
    <w:lvl w:ilvl="6" w:tplc="0419000F" w:tentative="1">
      <w:start w:val="1"/>
      <w:numFmt w:val="decimal"/>
      <w:lvlText w:val="%7."/>
      <w:lvlJc w:val="left"/>
      <w:pPr>
        <w:ind w:left="4896" w:hanging="360"/>
      </w:pPr>
    </w:lvl>
    <w:lvl w:ilvl="7" w:tplc="04190019" w:tentative="1">
      <w:start w:val="1"/>
      <w:numFmt w:val="lowerLetter"/>
      <w:lvlText w:val="%8."/>
      <w:lvlJc w:val="left"/>
      <w:pPr>
        <w:ind w:left="5616" w:hanging="360"/>
      </w:pPr>
    </w:lvl>
    <w:lvl w:ilvl="8" w:tplc="0419001B" w:tentative="1">
      <w:start w:val="1"/>
      <w:numFmt w:val="lowerRoman"/>
      <w:lvlText w:val="%9."/>
      <w:lvlJc w:val="right"/>
      <w:pPr>
        <w:ind w:left="6336" w:hanging="180"/>
      </w:pPr>
    </w:lvl>
  </w:abstractNum>
  <w:abstractNum w:abstractNumId="15" w15:restartNumberingAfterBreak="0">
    <w:nsid w:val="4FA8240E"/>
    <w:multiLevelType w:val="multilevel"/>
    <w:tmpl w:val="0419001F"/>
    <w:numStyleLink w:val="1"/>
  </w:abstractNum>
  <w:abstractNum w:abstractNumId="16" w15:restartNumberingAfterBreak="0">
    <w:nsid w:val="55D6310C"/>
    <w:multiLevelType w:val="hybridMultilevel"/>
    <w:tmpl w:val="5E3E0B7A"/>
    <w:lvl w:ilvl="0" w:tplc="49E2B214">
      <w:start w:val="1"/>
      <w:numFmt w:val="decimal"/>
      <w:lvlText w:val="%1."/>
      <w:lvlJc w:val="left"/>
      <w:pPr>
        <w:ind w:left="720" w:hanging="360"/>
      </w:pPr>
      <w:rPr>
        <w:rFonts w:ascii="Arial" w:eastAsia="Arial Regular" w:hAnsi="Arial" w:cs="Arial" w:hint="default"/>
        <w:color w:val="525252"/>
        <w:sz w:val="1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9B64A20"/>
    <w:multiLevelType w:val="hybridMultilevel"/>
    <w:tmpl w:val="72967458"/>
    <w:lvl w:ilvl="0" w:tplc="CC148E90">
      <w:numFmt w:val="bullet"/>
      <w:lvlText w:val="•"/>
      <w:lvlJc w:val="left"/>
      <w:pPr>
        <w:ind w:left="720" w:hanging="360"/>
      </w:pPr>
      <w:rPr>
        <w:rFonts w:ascii="Arial" w:eastAsia="Arial" w:hAnsi="Arial" w:cs="Arial" w:hint="default"/>
        <w:b w:val="0"/>
        <w:bCs w:val="0"/>
        <w:i w:val="0"/>
        <w:iCs w:val="0"/>
        <w:color w:val="428B26"/>
        <w:w w:val="100"/>
        <w:sz w:val="20"/>
        <w:szCs w:val="20"/>
        <w:lang w:val="ru-RU" w:eastAsia="en-US" w:bidi="ar-SA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6DAD5882"/>
    <w:multiLevelType w:val="hybridMultilevel"/>
    <w:tmpl w:val="8578CE28"/>
    <w:lvl w:ilvl="0" w:tplc="DE38C840">
      <w:start w:val="1"/>
      <w:numFmt w:val="bullet"/>
      <w:lvlText w:val=""/>
      <w:lvlJc w:val="left"/>
      <w:pPr>
        <w:ind w:left="340" w:hanging="227"/>
      </w:pPr>
      <w:rPr>
        <w:rFonts w:ascii="Symbol" w:hAnsi="Symbol" w:hint="default"/>
        <w:b w:val="0"/>
        <w:bCs w:val="0"/>
        <w:i w:val="0"/>
        <w:iCs w:val="0"/>
        <w:color w:val="70BC79"/>
        <w:w w:val="100"/>
        <w:sz w:val="15"/>
        <w:szCs w:val="20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9"/>
  </w:num>
  <w:num w:numId="3">
    <w:abstractNumId w:val="18"/>
  </w:num>
  <w:num w:numId="4">
    <w:abstractNumId w:val="1"/>
  </w:num>
  <w:num w:numId="5">
    <w:abstractNumId w:val="0"/>
  </w:num>
  <w:num w:numId="6">
    <w:abstractNumId w:val="8"/>
  </w:num>
  <w:num w:numId="7">
    <w:abstractNumId w:val="7"/>
  </w:num>
  <w:num w:numId="8">
    <w:abstractNumId w:val="14"/>
  </w:num>
  <w:num w:numId="9">
    <w:abstractNumId w:val="16"/>
  </w:num>
  <w:num w:numId="10">
    <w:abstractNumId w:val="15"/>
  </w:num>
  <w:num w:numId="11">
    <w:abstractNumId w:val="3"/>
  </w:num>
  <w:num w:numId="12">
    <w:abstractNumId w:val="4"/>
  </w:num>
  <w:num w:numId="13">
    <w:abstractNumId w:val="17"/>
  </w:num>
  <w:num w:numId="14">
    <w:abstractNumId w:val="13"/>
  </w:num>
  <w:num w:numId="15">
    <w:abstractNumId w:val="12"/>
  </w:num>
  <w:num w:numId="16">
    <w:abstractNumId w:val="6"/>
  </w:num>
  <w:num w:numId="17">
    <w:abstractNumId w:val="11"/>
  </w:num>
  <w:num w:numId="18">
    <w:abstractNumId w:val="10"/>
  </w:num>
  <w:num w:numId="1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3"/>
  <w:defaultTabStop w:val="708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00981"/>
    <w:rsid w:val="00007009"/>
    <w:rsid w:val="000331D3"/>
    <w:rsid w:val="00042D79"/>
    <w:rsid w:val="0009697E"/>
    <w:rsid w:val="000C7733"/>
    <w:rsid w:val="00104DC0"/>
    <w:rsid w:val="0011494C"/>
    <w:rsid w:val="00123F16"/>
    <w:rsid w:val="00185301"/>
    <w:rsid w:val="001A7212"/>
    <w:rsid w:val="001E76E4"/>
    <w:rsid w:val="00200A71"/>
    <w:rsid w:val="00207706"/>
    <w:rsid w:val="00207DEE"/>
    <w:rsid w:val="00213F89"/>
    <w:rsid w:val="002514DA"/>
    <w:rsid w:val="00271F13"/>
    <w:rsid w:val="002774A4"/>
    <w:rsid w:val="00285C1C"/>
    <w:rsid w:val="0029619B"/>
    <w:rsid w:val="002D32A9"/>
    <w:rsid w:val="002E6CFC"/>
    <w:rsid w:val="00317D48"/>
    <w:rsid w:val="003217F9"/>
    <w:rsid w:val="0036528F"/>
    <w:rsid w:val="003A01A4"/>
    <w:rsid w:val="003B2F8F"/>
    <w:rsid w:val="0042216D"/>
    <w:rsid w:val="00432053"/>
    <w:rsid w:val="00450D2B"/>
    <w:rsid w:val="0046279D"/>
    <w:rsid w:val="00470728"/>
    <w:rsid w:val="00493CA1"/>
    <w:rsid w:val="0049418D"/>
    <w:rsid w:val="004C3674"/>
    <w:rsid w:val="00510F7F"/>
    <w:rsid w:val="005601C7"/>
    <w:rsid w:val="00585498"/>
    <w:rsid w:val="005E0B29"/>
    <w:rsid w:val="005E5733"/>
    <w:rsid w:val="00600981"/>
    <w:rsid w:val="006547EF"/>
    <w:rsid w:val="00672C7D"/>
    <w:rsid w:val="00693D5E"/>
    <w:rsid w:val="006F4F25"/>
    <w:rsid w:val="007400F8"/>
    <w:rsid w:val="00754A39"/>
    <w:rsid w:val="007648B7"/>
    <w:rsid w:val="00786C59"/>
    <w:rsid w:val="007B01E4"/>
    <w:rsid w:val="007B5434"/>
    <w:rsid w:val="008665C5"/>
    <w:rsid w:val="008749FF"/>
    <w:rsid w:val="008C6871"/>
    <w:rsid w:val="008D2E0E"/>
    <w:rsid w:val="008D4C3B"/>
    <w:rsid w:val="008D546D"/>
    <w:rsid w:val="008D7884"/>
    <w:rsid w:val="008E5B04"/>
    <w:rsid w:val="008E6F3A"/>
    <w:rsid w:val="0091460D"/>
    <w:rsid w:val="00952939"/>
    <w:rsid w:val="00972C1F"/>
    <w:rsid w:val="009A5F00"/>
    <w:rsid w:val="009C38F0"/>
    <w:rsid w:val="009F0B5D"/>
    <w:rsid w:val="00A00D03"/>
    <w:rsid w:val="00A141D0"/>
    <w:rsid w:val="00A23F70"/>
    <w:rsid w:val="00A30127"/>
    <w:rsid w:val="00A71193"/>
    <w:rsid w:val="00A8743E"/>
    <w:rsid w:val="00AB0D37"/>
    <w:rsid w:val="00AB459F"/>
    <w:rsid w:val="00AC5F3E"/>
    <w:rsid w:val="00AC7C23"/>
    <w:rsid w:val="00B057C5"/>
    <w:rsid w:val="00B15DA4"/>
    <w:rsid w:val="00B43487"/>
    <w:rsid w:val="00B53B84"/>
    <w:rsid w:val="00B61205"/>
    <w:rsid w:val="00B756A9"/>
    <w:rsid w:val="00B97CCA"/>
    <w:rsid w:val="00BB7FD9"/>
    <w:rsid w:val="00BC6D65"/>
    <w:rsid w:val="00BD0494"/>
    <w:rsid w:val="00BD20C7"/>
    <w:rsid w:val="00BF10A6"/>
    <w:rsid w:val="00C806D2"/>
    <w:rsid w:val="00C82AC9"/>
    <w:rsid w:val="00C908A2"/>
    <w:rsid w:val="00D5392D"/>
    <w:rsid w:val="00D60408"/>
    <w:rsid w:val="00D619F1"/>
    <w:rsid w:val="00D64576"/>
    <w:rsid w:val="00D80E8C"/>
    <w:rsid w:val="00DA4BC5"/>
    <w:rsid w:val="00DC1165"/>
    <w:rsid w:val="00DC2CAB"/>
    <w:rsid w:val="00DD04F8"/>
    <w:rsid w:val="00DF4277"/>
    <w:rsid w:val="00E211FB"/>
    <w:rsid w:val="00E36178"/>
    <w:rsid w:val="00E4319D"/>
    <w:rsid w:val="00E722B1"/>
    <w:rsid w:val="00E756A2"/>
    <w:rsid w:val="00E82C81"/>
    <w:rsid w:val="00EB6555"/>
    <w:rsid w:val="00EB7ADE"/>
    <w:rsid w:val="00EC0C85"/>
    <w:rsid w:val="00EE5F79"/>
    <w:rsid w:val="00F01409"/>
    <w:rsid w:val="00F10120"/>
    <w:rsid w:val="00F54FA1"/>
    <w:rsid w:val="00F70D87"/>
    <w:rsid w:val="00F71B99"/>
    <w:rsid w:val="00F96902"/>
    <w:rsid w:val="00FA410D"/>
    <w:rsid w:val="00FF76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018FAA0"/>
  <w15:docId w15:val="{BC6A2081-B58E-47D7-81AE-3429F8408B8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ru-RU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numbering" w:customStyle="1" w:styleId="1">
    <w:name w:val="Стиль1"/>
    <w:uiPriority w:val="99"/>
    <w:rsid w:val="002E6CFC"/>
    <w:pPr>
      <w:numPr>
        <w:numId w:val="1"/>
      </w:numPr>
    </w:pPr>
  </w:style>
  <w:style w:type="table" w:styleId="a3">
    <w:name w:val="Table Grid"/>
    <w:basedOn w:val="a1"/>
    <w:uiPriority w:val="39"/>
    <w:rsid w:val="00600981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link w:val="a5"/>
    <w:uiPriority w:val="34"/>
    <w:qFormat/>
    <w:rsid w:val="00600981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6">
    <w:name w:val="По умолчанию"/>
    <w:rsid w:val="00600981"/>
    <w:pPr>
      <w:pBdr>
        <w:top w:val="nil"/>
        <w:left w:val="nil"/>
        <w:bottom w:val="nil"/>
        <w:right w:val="nil"/>
        <w:between w:val="nil"/>
        <w:bar w:val="nil"/>
      </w:pBdr>
    </w:pPr>
    <w:rPr>
      <w:rFonts w:ascii="Helvetica Neue" w:eastAsia="Arial Unicode MS" w:hAnsi="Helvetica Neue" w:cs="Arial Unicode MS"/>
      <w:color w:val="000000"/>
      <w:sz w:val="20"/>
      <w:szCs w:val="20"/>
      <w:bdr w:val="nil"/>
      <w:lang w:eastAsia="ru-RU"/>
      <w14:textOutline w14:w="0" w14:cap="flat" w14:cmpd="sng" w14:algn="ctr">
        <w14:noFill/>
        <w14:prstDash w14:val="solid"/>
        <w14:bevel/>
      </w14:textOutline>
    </w:rPr>
  </w:style>
  <w:style w:type="character" w:styleId="a7">
    <w:name w:val="line number"/>
    <w:basedOn w:val="a0"/>
    <w:uiPriority w:val="99"/>
    <w:semiHidden/>
    <w:unhideWhenUsed/>
    <w:rsid w:val="00600981"/>
  </w:style>
  <w:style w:type="paragraph" w:styleId="a8">
    <w:name w:val="footer"/>
    <w:basedOn w:val="a"/>
    <w:link w:val="a9"/>
    <w:uiPriority w:val="99"/>
    <w:unhideWhenUsed/>
    <w:rsid w:val="00600981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basedOn w:val="a0"/>
    <w:link w:val="a8"/>
    <w:uiPriority w:val="99"/>
    <w:rsid w:val="00600981"/>
  </w:style>
  <w:style w:type="character" w:styleId="aa">
    <w:name w:val="page number"/>
    <w:basedOn w:val="a0"/>
    <w:uiPriority w:val="99"/>
    <w:semiHidden/>
    <w:unhideWhenUsed/>
    <w:rsid w:val="00600981"/>
  </w:style>
  <w:style w:type="paragraph" w:styleId="ab">
    <w:name w:val="header"/>
    <w:basedOn w:val="a"/>
    <w:link w:val="ac"/>
    <w:uiPriority w:val="99"/>
    <w:unhideWhenUsed/>
    <w:rsid w:val="00600981"/>
    <w:pPr>
      <w:tabs>
        <w:tab w:val="center" w:pos="4677"/>
        <w:tab w:val="right" w:pos="9355"/>
      </w:tabs>
    </w:pPr>
  </w:style>
  <w:style w:type="character" w:customStyle="1" w:styleId="ac">
    <w:name w:val="Верхний колонтитул Знак"/>
    <w:basedOn w:val="a0"/>
    <w:link w:val="ab"/>
    <w:uiPriority w:val="99"/>
    <w:rsid w:val="00600981"/>
  </w:style>
  <w:style w:type="character" w:styleId="ad">
    <w:name w:val="Hyperlink"/>
    <w:basedOn w:val="a0"/>
    <w:uiPriority w:val="99"/>
    <w:unhideWhenUsed/>
    <w:rsid w:val="00600981"/>
    <w:rPr>
      <w:color w:val="0563C1" w:themeColor="hyperlink"/>
      <w:u w:val="single"/>
    </w:rPr>
  </w:style>
  <w:style w:type="character" w:customStyle="1" w:styleId="UnresolvedMention">
    <w:name w:val="Unresolved Mention"/>
    <w:basedOn w:val="a0"/>
    <w:uiPriority w:val="99"/>
    <w:semiHidden/>
    <w:unhideWhenUsed/>
    <w:rsid w:val="00600981"/>
    <w:rPr>
      <w:color w:val="605E5C"/>
      <w:shd w:val="clear" w:color="auto" w:fill="E1DFDD"/>
    </w:rPr>
  </w:style>
  <w:style w:type="paragraph" w:styleId="ae">
    <w:name w:val="No Spacing"/>
    <w:link w:val="af"/>
    <w:uiPriority w:val="1"/>
    <w:qFormat/>
    <w:rsid w:val="00BD0494"/>
    <w:rPr>
      <w:rFonts w:eastAsiaTheme="minorEastAsia"/>
      <w:sz w:val="22"/>
      <w:szCs w:val="22"/>
      <w:lang w:val="en-US" w:eastAsia="zh-CN"/>
    </w:rPr>
  </w:style>
  <w:style w:type="character" w:customStyle="1" w:styleId="af">
    <w:name w:val="Без интервала Знак"/>
    <w:basedOn w:val="a0"/>
    <w:link w:val="ae"/>
    <w:uiPriority w:val="1"/>
    <w:rsid w:val="00BD0494"/>
    <w:rPr>
      <w:rFonts w:eastAsiaTheme="minorEastAsia"/>
      <w:sz w:val="22"/>
      <w:szCs w:val="22"/>
      <w:lang w:val="en-US" w:eastAsia="zh-CN"/>
    </w:rPr>
  </w:style>
  <w:style w:type="paragraph" w:styleId="af0">
    <w:name w:val="endnote text"/>
    <w:basedOn w:val="a"/>
    <w:link w:val="af1"/>
    <w:uiPriority w:val="99"/>
    <w:semiHidden/>
    <w:unhideWhenUsed/>
    <w:rsid w:val="00BD0494"/>
    <w:rPr>
      <w:sz w:val="20"/>
      <w:szCs w:val="20"/>
    </w:rPr>
  </w:style>
  <w:style w:type="character" w:customStyle="1" w:styleId="af1">
    <w:name w:val="Текст концевой сноски Знак"/>
    <w:basedOn w:val="a0"/>
    <w:link w:val="af0"/>
    <w:uiPriority w:val="99"/>
    <w:semiHidden/>
    <w:rsid w:val="00BD0494"/>
    <w:rPr>
      <w:sz w:val="20"/>
      <w:szCs w:val="20"/>
    </w:rPr>
  </w:style>
  <w:style w:type="character" w:styleId="af2">
    <w:name w:val="endnote reference"/>
    <w:basedOn w:val="a0"/>
    <w:uiPriority w:val="99"/>
    <w:semiHidden/>
    <w:unhideWhenUsed/>
    <w:rsid w:val="00BD0494"/>
    <w:rPr>
      <w:vertAlign w:val="superscript"/>
    </w:rPr>
  </w:style>
  <w:style w:type="paragraph" w:styleId="af3">
    <w:name w:val="footnote text"/>
    <w:basedOn w:val="a"/>
    <w:link w:val="af4"/>
    <w:uiPriority w:val="99"/>
    <w:semiHidden/>
    <w:unhideWhenUsed/>
    <w:rsid w:val="00BD0494"/>
    <w:rPr>
      <w:sz w:val="20"/>
      <w:szCs w:val="20"/>
    </w:rPr>
  </w:style>
  <w:style w:type="character" w:customStyle="1" w:styleId="af4">
    <w:name w:val="Текст сноски Знак"/>
    <w:basedOn w:val="a0"/>
    <w:link w:val="af3"/>
    <w:uiPriority w:val="99"/>
    <w:semiHidden/>
    <w:rsid w:val="00BD0494"/>
    <w:rPr>
      <w:sz w:val="20"/>
      <w:szCs w:val="20"/>
    </w:rPr>
  </w:style>
  <w:style w:type="character" w:styleId="af5">
    <w:name w:val="footnote reference"/>
    <w:basedOn w:val="a0"/>
    <w:uiPriority w:val="99"/>
    <w:semiHidden/>
    <w:unhideWhenUsed/>
    <w:rsid w:val="00BD0494"/>
    <w:rPr>
      <w:vertAlign w:val="superscript"/>
    </w:rPr>
  </w:style>
  <w:style w:type="paragraph" w:styleId="af6">
    <w:name w:val="Balloon Text"/>
    <w:basedOn w:val="a"/>
    <w:link w:val="af7"/>
    <w:uiPriority w:val="99"/>
    <w:semiHidden/>
    <w:unhideWhenUsed/>
    <w:rsid w:val="00D60408"/>
    <w:rPr>
      <w:rFonts w:ascii="Tahoma" w:hAnsi="Tahoma" w:cs="Tahoma"/>
      <w:sz w:val="16"/>
      <w:szCs w:val="16"/>
    </w:rPr>
  </w:style>
  <w:style w:type="character" w:customStyle="1" w:styleId="af7">
    <w:name w:val="Текст выноски Знак"/>
    <w:basedOn w:val="a0"/>
    <w:link w:val="af6"/>
    <w:uiPriority w:val="99"/>
    <w:semiHidden/>
    <w:rsid w:val="00D60408"/>
    <w:rPr>
      <w:rFonts w:ascii="Tahoma" w:hAnsi="Tahoma" w:cs="Tahoma"/>
      <w:sz w:val="16"/>
      <w:szCs w:val="16"/>
    </w:rPr>
  </w:style>
  <w:style w:type="character" w:customStyle="1" w:styleId="a5">
    <w:name w:val="Абзац списка Знак"/>
    <w:link w:val="a4"/>
    <w:uiPriority w:val="34"/>
    <w:locked/>
    <w:rsid w:val="00DC2CAB"/>
    <w:rPr>
      <w:rFonts w:ascii="Times New Roman" w:eastAsia="Times New Roman" w:hAnsi="Times New Roman" w:cs="Times New Roman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1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hyperlink" Target="https://www.otpbank.ru/documents/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0447E8E5-1421-43C8-AA61-CBEE3E7EA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1681</Words>
  <Characters>9587</Characters>
  <Application>Microsoft Office Word</Application>
  <DocSecurity>0</DocSecurity>
  <Lines>79</Lines>
  <Paragraphs>22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Правила Бонусной программы по картам с лимитом овердрафт «10% cashback на Wildberries и Ozon»</vt:lpstr>
    </vt:vector>
  </TitlesOfParts>
  <Company/>
  <LinksUpToDate>false</LinksUpToDate>
  <CharactersWithSpaces>11246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Правила Бонусной программы по картам с лимитом овердрафт «10% cashback на Wildberries и Ozon»</dc:title>
  <dc:creator>Microsoft Office User</dc:creator>
  <cp:lastModifiedBy>la05lo</cp:lastModifiedBy>
  <cp:revision>2</cp:revision>
  <dcterms:created xsi:type="dcterms:W3CDTF">2023-05-31T15:26:00Z</dcterms:created>
  <dcterms:modified xsi:type="dcterms:W3CDTF">2023-05-31T15:26:00Z</dcterms:modified>
</cp:coreProperties>
</file>